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pPr>
        <w:spacing w:before="120" w:after="0" w:line="312" w:lineRule="atLeast"/>
        <w:rPr>
          <w:rFonts w:asciiTheme="majorBidi" w:eastAsia="Times New Roman" w:hAnsiTheme="majorBidi" w:cstheme="majorBidi"/>
          <w:color w:val="333333"/>
          <w:sz w:val="27"/>
          <w:szCs w:val="27"/>
        </w:rPr>
      </w:pPr>
      <w:r>
        <w:rPr>
          <w:rFonts w:asciiTheme="majorBidi" w:eastAsia="Times New Roman" w:hAnsiTheme="majorBidi" w:cstheme="majorBidi"/>
          <w:color w:val="333333"/>
          <w:sz w:val="27"/>
          <w:szCs w:val="27"/>
        </w:rPr>
        <w:br/>
      </w:r>
      <w:hyperlink r:id="rId4" w:history="1">
        <w:r>
          <w:rPr>
            <w:rStyle w:val="Hyperlink"/>
            <w:rFonts w:asciiTheme="majorBidi" w:eastAsia="Times New Roman" w:hAnsiTheme="majorBidi" w:cstheme="majorBidi"/>
            <w:sz w:val="27"/>
            <w:szCs w:val="27"/>
          </w:rPr>
          <w:t>Imp-Ac 5a</w:t>
        </w:r>
      </w:hyperlink>
    </w:p>
    <w:p>
      <w:pPr>
        <w:spacing w:before="120" w:after="0" w:line="312" w:lineRule="atLeast"/>
        <w:rPr>
          <w:rFonts w:asciiTheme="majorBidi" w:eastAsia="Times New Roman" w:hAnsiTheme="majorBidi" w:cstheme="majorBidi"/>
          <w:color w:val="333333"/>
          <w:sz w:val="27"/>
          <w:szCs w:val="27"/>
        </w:rPr>
      </w:pPr>
      <w:r>
        <w:rPr>
          <w:rFonts w:asciiTheme="majorBidi" w:eastAsia="Times New Roman" w:hAnsiTheme="majorBidi" w:cstheme="majorBidi"/>
          <w:color w:val="333333"/>
          <w:sz w:val="27"/>
          <w:szCs w:val="27"/>
        </w:rPr>
        <w:t xml:space="preserve">(5) In order to ensure </w:t>
      </w:r>
      <w:r>
        <w:rPr>
          <w:rFonts w:asciiTheme="majorBidi" w:eastAsia="Times New Roman" w:hAnsiTheme="majorBidi" w:cstheme="majorBidi"/>
          <w:color w:val="FF0000"/>
          <w:sz w:val="27"/>
          <w:szCs w:val="27"/>
        </w:rPr>
        <w:t xml:space="preserve">transparency </w:t>
      </w:r>
      <w:r>
        <w:rPr>
          <w:rFonts w:asciiTheme="majorBidi" w:eastAsia="Times New Roman" w:hAnsiTheme="majorBidi" w:cstheme="majorBidi"/>
          <w:color w:val="333333"/>
          <w:sz w:val="27"/>
          <w:szCs w:val="27"/>
        </w:rPr>
        <w:t xml:space="preserve">and </w:t>
      </w:r>
      <w:r>
        <w:rPr>
          <w:rFonts w:asciiTheme="majorBidi" w:eastAsia="Times New Roman" w:hAnsiTheme="majorBidi" w:cstheme="majorBidi"/>
          <w:color w:val="FF0000"/>
          <w:sz w:val="27"/>
          <w:szCs w:val="27"/>
        </w:rPr>
        <w:t xml:space="preserve">trustworthiness </w:t>
      </w:r>
      <w:r>
        <w:rPr>
          <w:rFonts w:asciiTheme="majorBidi" w:eastAsia="Times New Roman" w:hAnsiTheme="majorBidi" w:cstheme="majorBidi"/>
          <w:color w:val="333333"/>
          <w:sz w:val="27"/>
          <w:szCs w:val="27"/>
        </w:rPr>
        <w:t xml:space="preserve">of wallet-relying parties towards wallet users, the protocols and interfaces used by the wallet solutions should provide wallet users with a </w:t>
      </w:r>
      <w:r>
        <w:rPr>
          <w:rFonts w:asciiTheme="majorBidi" w:eastAsia="Times New Roman" w:hAnsiTheme="majorBidi" w:cstheme="majorBidi"/>
          <w:color w:val="FF0000"/>
          <w:sz w:val="27"/>
          <w:szCs w:val="27"/>
        </w:rPr>
        <w:t xml:space="preserve">reliable mechanism to authenticate </w:t>
      </w:r>
      <w:bookmarkStart w:id="0" w:name="_GoBack"/>
      <w:r>
        <w:rPr>
          <w:rFonts w:asciiTheme="majorBidi" w:eastAsia="Times New Roman" w:hAnsiTheme="majorBidi" w:cstheme="majorBidi"/>
          <w:color w:val="FF0000"/>
          <w:sz w:val="27"/>
          <w:szCs w:val="27"/>
        </w:rPr>
        <w:t xml:space="preserve">wallet-relying parties and other wallet units. </w:t>
      </w:r>
      <w:bookmarkEnd w:id="0"/>
      <w:r>
        <w:rPr>
          <w:rFonts w:asciiTheme="majorBidi" w:eastAsia="Times New Roman" w:hAnsiTheme="majorBidi" w:cstheme="majorBidi"/>
          <w:color w:val="333333"/>
          <w:sz w:val="27"/>
          <w:szCs w:val="27"/>
        </w:rPr>
        <w:t xml:space="preserve">Inversely, wallet providers should provide a mechanism to authenticate and validate wallet units so that relying parties can receive assurances with respect to trustworthiness and authenticity of the wallet units. Further, the technical infrastructure of the wallets should also be designed to ensure that only the </w:t>
      </w:r>
      <w:r>
        <w:rPr>
          <w:rFonts w:asciiTheme="majorBidi" w:eastAsia="Times New Roman" w:hAnsiTheme="majorBidi" w:cstheme="majorBidi"/>
          <w:color w:val="FF0000"/>
          <w:sz w:val="27"/>
          <w:szCs w:val="27"/>
        </w:rPr>
        <w:t xml:space="preserve">minimal necessary amount of data is transferred </w:t>
      </w:r>
      <w:r>
        <w:rPr>
          <w:rFonts w:asciiTheme="majorBidi" w:eastAsia="Times New Roman" w:hAnsiTheme="majorBidi" w:cstheme="majorBidi"/>
          <w:color w:val="333333"/>
          <w:sz w:val="27"/>
          <w:szCs w:val="27"/>
        </w:rPr>
        <w:t xml:space="preserve">only to the </w:t>
      </w:r>
      <w:proofErr w:type="spellStart"/>
      <w:r>
        <w:rPr>
          <w:rFonts w:asciiTheme="majorBidi" w:eastAsia="Times New Roman" w:hAnsiTheme="majorBidi" w:cstheme="majorBidi"/>
          <w:color w:val="333333"/>
          <w:sz w:val="27"/>
          <w:szCs w:val="27"/>
        </w:rPr>
        <w:t>authorised</w:t>
      </w:r>
      <w:proofErr w:type="spellEnd"/>
      <w:r>
        <w:rPr>
          <w:rFonts w:asciiTheme="majorBidi" w:eastAsia="Times New Roman" w:hAnsiTheme="majorBidi" w:cstheme="majorBidi"/>
          <w:color w:val="333333"/>
          <w:sz w:val="27"/>
          <w:szCs w:val="27"/>
        </w:rPr>
        <w:t xml:space="preserve"> relying parties, while keeping </w:t>
      </w:r>
      <w:proofErr w:type="spellStart"/>
      <w:r>
        <w:rPr>
          <w:rFonts w:asciiTheme="majorBidi" w:eastAsia="Times New Roman" w:hAnsiTheme="majorBidi" w:cstheme="majorBidi"/>
          <w:color w:val="FF0000"/>
          <w:sz w:val="27"/>
          <w:szCs w:val="27"/>
        </w:rPr>
        <w:t>unlinkability</w:t>
      </w:r>
      <w:proofErr w:type="spellEnd"/>
      <w:r>
        <w:rPr>
          <w:rFonts w:asciiTheme="majorBidi" w:eastAsia="Times New Roman" w:hAnsiTheme="majorBidi" w:cstheme="majorBidi"/>
          <w:color w:val="FF0000"/>
          <w:sz w:val="27"/>
          <w:szCs w:val="27"/>
        </w:rPr>
        <w:t xml:space="preserve"> </w:t>
      </w:r>
      <w:r>
        <w:rPr>
          <w:rFonts w:asciiTheme="majorBidi" w:eastAsia="Times New Roman" w:hAnsiTheme="majorBidi" w:cstheme="majorBidi"/>
          <w:color w:val="333333"/>
          <w:sz w:val="27"/>
          <w:szCs w:val="27"/>
        </w:rPr>
        <w:t xml:space="preserve">between the different transactions. In order to facilitate the issuance of person identification data and electronic attestations of attributes, all wallet solutions should support a </w:t>
      </w:r>
      <w:r>
        <w:rPr>
          <w:rFonts w:asciiTheme="majorBidi" w:eastAsia="Times New Roman" w:hAnsiTheme="majorBidi" w:cstheme="majorBidi"/>
          <w:color w:val="FF0000"/>
          <w:sz w:val="27"/>
          <w:szCs w:val="27"/>
        </w:rPr>
        <w:t>minimum set of protocols and interfaces</w:t>
      </w:r>
      <w:r>
        <w:rPr>
          <w:rFonts w:asciiTheme="majorBidi" w:eastAsia="Times New Roman" w:hAnsiTheme="majorBidi" w:cstheme="majorBidi"/>
          <w:color w:val="333333"/>
          <w:sz w:val="27"/>
          <w:szCs w:val="27"/>
        </w:rPr>
        <w:t>.</w:t>
      </w:r>
    </w:p>
    <w:p>
      <w:pPr>
        <w:spacing w:before="120" w:after="0" w:line="312" w:lineRule="atLeast"/>
        <w:rPr>
          <w:rFonts w:asciiTheme="majorBidi" w:hAnsiTheme="majorBidi" w:cstheme="majorBidi"/>
          <w:color w:val="333333"/>
          <w:sz w:val="27"/>
          <w:szCs w:val="27"/>
          <w:shd w:val="clear" w:color="auto" w:fill="FFFFFF"/>
        </w:rPr>
      </w:pPr>
      <w:r>
        <w:rPr>
          <w:rFonts w:asciiTheme="majorBidi" w:hAnsiTheme="majorBidi" w:cstheme="majorBidi"/>
          <w:color w:val="333333"/>
          <w:sz w:val="27"/>
          <w:szCs w:val="27"/>
          <w:shd w:val="clear" w:color="auto" w:fill="FFFFFF"/>
        </w:rPr>
        <w:t xml:space="preserve">(6) </w:t>
      </w:r>
      <w:r>
        <w:rPr>
          <w:rFonts w:asciiTheme="majorBidi" w:hAnsiTheme="majorBidi" w:cstheme="majorBidi"/>
          <w:color w:val="333333"/>
          <w:sz w:val="27"/>
          <w:szCs w:val="27"/>
          <w:shd w:val="clear" w:color="auto" w:fill="FFFFFF"/>
        </w:rPr>
        <w:t xml:space="preserve">To ensure the </w:t>
      </w:r>
      <w:r>
        <w:rPr>
          <w:rFonts w:asciiTheme="majorBidi" w:hAnsiTheme="majorBidi" w:cstheme="majorBidi"/>
          <w:color w:val="FF0000"/>
          <w:sz w:val="27"/>
          <w:szCs w:val="27"/>
          <w:shd w:val="clear" w:color="auto" w:fill="FFFFFF"/>
        </w:rPr>
        <w:t xml:space="preserve">usability </w:t>
      </w:r>
      <w:r>
        <w:rPr>
          <w:rFonts w:asciiTheme="majorBidi" w:hAnsiTheme="majorBidi" w:cstheme="majorBidi"/>
          <w:color w:val="333333"/>
          <w:sz w:val="27"/>
          <w:szCs w:val="27"/>
          <w:shd w:val="clear" w:color="auto" w:fill="FFFFFF"/>
        </w:rPr>
        <w:t>of wallet solutions across Member States, all wallet solutions should support common technical specifications when person identification data and electronic attestations of attributes are presented via the wallets to relying parties, both in remote and proximity scenarios. Additionally, wallet units may support other protocols and interfaces for specific use cases.</w:t>
      </w:r>
    </w:p>
    <w:p>
      <w:pPr>
        <w:spacing w:before="120" w:after="0" w:line="312" w:lineRule="atLeast"/>
        <w:rPr>
          <w:rFonts w:asciiTheme="majorBidi" w:eastAsia="Times New Roman" w:hAnsiTheme="majorBidi" w:cstheme="majorBidi"/>
          <w:color w:val="333333"/>
          <w:sz w:val="27"/>
          <w:szCs w:val="27"/>
        </w:rPr>
      </w:pPr>
      <w:r>
        <w:rPr>
          <w:rFonts w:asciiTheme="majorBidi" w:hAnsiTheme="majorBidi" w:cstheme="majorBidi"/>
          <w:color w:val="333333"/>
          <w:sz w:val="27"/>
          <w:szCs w:val="27"/>
          <w:shd w:val="clear" w:color="auto" w:fill="FFFFFF"/>
        </w:rPr>
        <w:t xml:space="preserve">(7) </w:t>
      </w:r>
      <w:r>
        <w:rPr>
          <w:rFonts w:asciiTheme="majorBidi" w:hAnsiTheme="majorBidi" w:cstheme="majorBidi"/>
          <w:color w:val="333333"/>
          <w:sz w:val="27"/>
          <w:szCs w:val="27"/>
          <w:shd w:val="clear" w:color="auto" w:fill="FFFFFF"/>
        </w:rPr>
        <w:t xml:space="preserve">To ensure </w:t>
      </w:r>
      <w:r>
        <w:rPr>
          <w:rFonts w:asciiTheme="majorBidi" w:hAnsiTheme="majorBidi" w:cstheme="majorBidi"/>
          <w:color w:val="FF0000"/>
          <w:sz w:val="27"/>
          <w:szCs w:val="27"/>
          <w:shd w:val="clear" w:color="auto" w:fill="FFFFFF"/>
        </w:rPr>
        <w:t xml:space="preserve">data protection by design </w:t>
      </w:r>
      <w:r>
        <w:rPr>
          <w:rFonts w:asciiTheme="majorBidi" w:hAnsiTheme="majorBidi" w:cstheme="majorBidi"/>
          <w:color w:val="333333"/>
          <w:sz w:val="27"/>
          <w:szCs w:val="27"/>
          <w:shd w:val="clear" w:color="auto" w:fill="FFFFFF"/>
        </w:rPr>
        <w:t xml:space="preserve">and by default, the wallets should be provided with several </w:t>
      </w:r>
      <w:r>
        <w:rPr>
          <w:rFonts w:asciiTheme="majorBidi" w:hAnsiTheme="majorBidi" w:cstheme="majorBidi"/>
          <w:color w:val="FF0000"/>
          <w:sz w:val="27"/>
          <w:szCs w:val="27"/>
          <w:shd w:val="clear" w:color="auto" w:fill="FFFFFF"/>
        </w:rPr>
        <w:t xml:space="preserve">privacy </w:t>
      </w:r>
      <w:r>
        <w:rPr>
          <w:rFonts w:asciiTheme="majorBidi" w:hAnsiTheme="majorBidi" w:cstheme="majorBidi"/>
          <w:color w:val="333333"/>
          <w:sz w:val="27"/>
          <w:szCs w:val="27"/>
          <w:shd w:val="clear" w:color="auto" w:fill="FFFFFF"/>
        </w:rPr>
        <w:t xml:space="preserve">enhancing features to prevent providers of electronic identification means and electronic attestation of attributes from combining personal data obtained when providing other services with the personal data processed to provide the services falling within the scope of Regulation (EU) No 910/2014. As set out in Regulation (EU) No 910/2014, </w:t>
      </w:r>
      <w:r>
        <w:rPr>
          <w:rFonts w:asciiTheme="majorBidi" w:hAnsiTheme="majorBidi" w:cstheme="majorBidi"/>
          <w:color w:val="FF0000"/>
          <w:sz w:val="27"/>
          <w:szCs w:val="27"/>
          <w:shd w:val="clear" w:color="auto" w:fill="FFFFFF"/>
        </w:rPr>
        <w:t>relying parties are not to request users to provide any data other than those indicated for the intended use of wallets during the registration process.</w:t>
      </w:r>
      <w:r>
        <w:rPr>
          <w:rFonts w:asciiTheme="majorBidi" w:hAnsiTheme="majorBidi" w:cstheme="majorBidi"/>
          <w:color w:val="333333"/>
          <w:sz w:val="27"/>
          <w:szCs w:val="27"/>
          <w:shd w:val="clear" w:color="auto" w:fill="FFFFFF"/>
        </w:rPr>
        <w:t xml:space="preserve"> Wallet users should be enabled to verify the registration data of relying parties at any point in time. Further, wallet units should be able to display wallet relying party registration certificates to users, when available, as part of an attribute request. This should enable wallet users to verify that the attributes being requested by the wallet relying party are within the scope of their registered attributes, providing assurance that the request is legitimate and trustworthy.</w:t>
      </w:r>
    </w:p>
    <w:p>
      <w:pPr>
        <w:pStyle w:val="oj-normal"/>
        <w:spacing w:before="120" w:beforeAutospacing="0" w:after="0" w:afterAutospacing="0" w:line="312" w:lineRule="atLeast"/>
        <w:rPr>
          <w:color w:val="333333"/>
          <w:sz w:val="27"/>
          <w:szCs w:val="27"/>
        </w:rPr>
      </w:pPr>
      <w:r>
        <w:t xml:space="preserve">(8) </w:t>
      </w:r>
      <w:r>
        <w:rPr>
          <w:color w:val="333333"/>
          <w:sz w:val="27"/>
          <w:szCs w:val="27"/>
        </w:rPr>
        <w:t xml:space="preserve">In order to protect the data of wallet users, wallet providers should ensure that wallet units </w:t>
      </w:r>
      <w:r>
        <w:rPr>
          <w:color w:val="FF0000"/>
          <w:sz w:val="27"/>
          <w:szCs w:val="27"/>
        </w:rPr>
        <w:t>validate requests </w:t>
      </w:r>
      <w:r>
        <w:rPr>
          <w:color w:val="333333"/>
          <w:sz w:val="27"/>
          <w:szCs w:val="27"/>
        </w:rPr>
        <w:t xml:space="preserve">from wallet-relying parties or other wallet units </w:t>
      </w:r>
      <w:r>
        <w:rPr>
          <w:color w:val="FF0000"/>
          <w:sz w:val="27"/>
          <w:szCs w:val="27"/>
        </w:rPr>
        <w:t>prior to making any data available.</w:t>
      </w:r>
      <w:r>
        <w:rPr>
          <w:color w:val="333333"/>
          <w:sz w:val="27"/>
          <w:szCs w:val="27"/>
        </w:rPr>
        <w:t xml:space="preserve"> For the same reason and in accordance with Article 5a(4)(d)(ii) of Regulation (EU) No 910/2014, wallet providers should ensure that wallet units allow wallet users to make </w:t>
      </w:r>
      <w:r>
        <w:rPr>
          <w:color w:val="FF0000"/>
          <w:sz w:val="27"/>
          <w:szCs w:val="27"/>
        </w:rPr>
        <w:t xml:space="preserve">data erasure requests </w:t>
      </w:r>
      <w:r>
        <w:rPr>
          <w:color w:val="333333"/>
          <w:sz w:val="27"/>
          <w:szCs w:val="27"/>
        </w:rPr>
        <w:t xml:space="preserve">to wallet-relying </w:t>
      </w:r>
      <w:proofErr w:type="spellStart"/>
      <w:r>
        <w:rPr>
          <w:color w:val="333333"/>
          <w:sz w:val="27"/>
          <w:szCs w:val="27"/>
        </w:rPr>
        <w:t>partie</w:t>
      </w:r>
      <w:proofErr w:type="spellEnd"/>
    </w:p>
    <w:p>
      <w:pPr>
        <w:pStyle w:val="oj-normal"/>
        <w:spacing w:before="120" w:beforeAutospacing="0" w:after="0" w:afterAutospacing="0" w:line="312" w:lineRule="atLeast"/>
        <w:rPr>
          <w:color w:val="333333"/>
          <w:sz w:val="27"/>
          <w:szCs w:val="27"/>
        </w:rPr>
      </w:pPr>
      <w:r>
        <w:rPr>
          <w:color w:val="333333"/>
          <w:sz w:val="27"/>
          <w:szCs w:val="27"/>
        </w:rPr>
        <w:t xml:space="preserve">(9) </w:t>
      </w:r>
      <w:r>
        <w:rPr>
          <w:color w:val="333333"/>
          <w:sz w:val="27"/>
          <w:szCs w:val="27"/>
          <w:shd w:val="clear" w:color="auto" w:fill="FFFFFF"/>
        </w:rPr>
        <w:t xml:space="preserve">In order to enable </w:t>
      </w:r>
      <w:r>
        <w:rPr>
          <w:color w:val="FF0000"/>
          <w:sz w:val="27"/>
          <w:szCs w:val="27"/>
          <w:shd w:val="clear" w:color="auto" w:fill="FFFFFF"/>
        </w:rPr>
        <w:t xml:space="preserve">swift reactions </w:t>
      </w:r>
      <w:r>
        <w:rPr>
          <w:color w:val="333333"/>
          <w:sz w:val="27"/>
          <w:szCs w:val="27"/>
          <w:shd w:val="clear" w:color="auto" w:fill="FFFFFF"/>
        </w:rPr>
        <w:t xml:space="preserve">in the case of any data protection concerns related to Article 5a(4)(d)(iii) of Regulation (EU) No 910/2014, wallet providers should ensure that wallet solutions provide mechanisms for </w:t>
      </w:r>
      <w:r>
        <w:rPr>
          <w:color w:val="FF0000"/>
          <w:sz w:val="27"/>
          <w:szCs w:val="27"/>
          <w:shd w:val="clear" w:color="auto" w:fill="FFFFFF"/>
        </w:rPr>
        <w:t>reporting of a relying party to the competent national data protection authority</w:t>
      </w:r>
      <w:r>
        <w:rPr>
          <w:color w:val="333333"/>
          <w:sz w:val="27"/>
          <w:szCs w:val="27"/>
          <w:shd w:val="clear" w:color="auto" w:fill="FFFFFF"/>
        </w:rPr>
        <w:t xml:space="preserve">. Appropriate flexibility </w:t>
      </w:r>
      <w:r>
        <w:rPr>
          <w:color w:val="333333"/>
          <w:sz w:val="27"/>
          <w:szCs w:val="27"/>
          <w:shd w:val="clear" w:color="auto" w:fill="FFFFFF"/>
        </w:rPr>
        <w:lastRenderedPageBreak/>
        <w:t>should be left to wallet providers and data protection authorities in establishing suitable mechanisms for interacting with data protection authorities of the Member States.</w:t>
      </w:r>
    </w:p>
    <w:p>
      <w:pPr>
        <w:spacing w:before="120" w:after="0" w:line="312" w:lineRule="atLeast"/>
        <w:rPr>
          <w:rFonts w:ascii="Times New Roman" w:eastAsia="Times New Roman" w:hAnsi="Times New Roman" w:cs="Times New Roman"/>
          <w:color w:val="333333"/>
          <w:sz w:val="27"/>
          <w:szCs w:val="27"/>
          <w:shd w:val="clear" w:color="auto" w:fill="FFFFFF"/>
        </w:rPr>
      </w:pPr>
      <w:r>
        <w:rPr>
          <w:rFonts w:ascii="Times New Roman" w:eastAsia="Times New Roman" w:hAnsi="Times New Roman" w:cs="Times New Roman"/>
          <w:color w:val="333333"/>
          <w:sz w:val="27"/>
          <w:szCs w:val="27"/>
          <w:shd w:val="clear" w:color="auto" w:fill="FFFFFF"/>
        </w:rPr>
        <w:t xml:space="preserve">Article </w:t>
      </w:r>
      <w:proofErr w:type="gramStart"/>
      <w:r>
        <w:rPr>
          <w:rFonts w:ascii="Times New Roman" w:eastAsia="Times New Roman" w:hAnsi="Times New Roman" w:cs="Times New Roman"/>
          <w:color w:val="333333"/>
          <w:sz w:val="27"/>
          <w:szCs w:val="27"/>
          <w:shd w:val="clear" w:color="auto" w:fill="FFFFFF"/>
        </w:rPr>
        <w:t>1  Use</w:t>
      </w:r>
      <w:proofErr w:type="gramEnd"/>
      <w:r>
        <w:rPr>
          <w:rFonts w:ascii="Times New Roman" w:eastAsia="Times New Roman" w:hAnsi="Times New Roman" w:cs="Times New Roman"/>
          <w:color w:val="333333"/>
          <w:sz w:val="27"/>
          <w:szCs w:val="27"/>
          <w:shd w:val="clear" w:color="auto" w:fill="FFFFFF"/>
        </w:rPr>
        <w:t xml:space="preserve"> cases (</w:t>
      </w:r>
      <w:r>
        <w:rPr>
          <w:rFonts w:ascii="Times New Roman" w:eastAsia="Times New Roman" w:hAnsi="Times New Roman" w:cs="Times New Roman"/>
          <w:color w:val="333333"/>
          <w:sz w:val="27"/>
          <w:szCs w:val="27"/>
          <w:shd w:val="clear" w:color="auto" w:fill="FFFFFF"/>
        </w:rPr>
        <w:t>Subject matter and scope</w:t>
      </w:r>
      <w:r>
        <w:rPr>
          <w:rFonts w:ascii="Times New Roman" w:eastAsia="Times New Roman" w:hAnsi="Times New Roman" w:cs="Times New Roman"/>
          <w:color w:val="333333"/>
          <w:sz w:val="27"/>
          <w:szCs w:val="27"/>
          <w:shd w:val="clear" w:color="auto" w:fill="FFFFFF"/>
        </w:rPr>
        <w:t>)</w:t>
      </w:r>
    </w:p>
    <w:tbl>
      <w:tblPr>
        <w:tblW w:w="5000" w:type="pct"/>
        <w:shd w:val="clear" w:color="auto" w:fill="FFFFFF"/>
        <w:tblCellMar>
          <w:left w:w="0" w:type="dxa"/>
          <w:right w:w="0" w:type="dxa"/>
        </w:tblCellMar>
        <w:tblLook w:val="04A0" w:firstRow="1" w:lastRow="0" w:firstColumn="1" w:lastColumn="0" w:noHBand="0" w:noVBand="1"/>
      </w:tblPr>
      <w:tblGrid>
        <w:gridCol w:w="315"/>
        <w:gridCol w:w="8757"/>
      </w:tblGrid>
      <w:tr>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(1)</w:t>
            </w:r>
          </w:p>
        </w:tc>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 xml:space="preserve">the </w:t>
            </w:r>
            <w:r>
              <w:rPr>
                <w:rFonts w:ascii="Times New Roman" w:eastAsia="Times New Roman" w:hAnsi="Times New Roman" w:cs="Times New Roman"/>
                <w:color w:val="FF0000"/>
                <w:sz w:val="27"/>
                <w:szCs w:val="27"/>
              </w:rPr>
              <w:t xml:space="preserve">issuance </w:t>
            </w:r>
            <w:r>
              <w:rPr>
                <w:rFonts w:ascii="Times New Roman" w:eastAsia="Times New Roman" w:hAnsi="Times New Roman" w:cs="Times New Roman"/>
                <w:color w:val="333333"/>
                <w:sz w:val="27"/>
                <w:szCs w:val="27"/>
              </w:rPr>
              <w:t>of person identification data and electronic attestations of attributes to wallet units;</w:t>
            </w:r>
          </w:p>
        </w:tc>
      </w:tr>
    </w:tbl>
    <w:p>
      <w:pPr>
        <w:spacing w:after="0" w:line="240" w:lineRule="auto"/>
        <w:rPr>
          <w:rFonts w:ascii="Times New Roman" w:eastAsia="Times New Roman" w:hAnsi="Times New Roman" w:cs="Times New Roman"/>
          <w:vanish/>
          <w:sz w:val="24"/>
          <w:szCs w:val="24"/>
        </w:rPr>
      </w:pPr>
    </w:p>
    <w:tbl>
      <w:tblPr>
        <w:tblW w:w="5000" w:type="pct"/>
        <w:shd w:val="clear" w:color="auto" w:fill="FFFFFF"/>
        <w:tblCellMar>
          <w:left w:w="0" w:type="dxa"/>
          <w:right w:w="0" w:type="dxa"/>
        </w:tblCellMar>
        <w:tblLook w:val="04A0" w:firstRow="1" w:lastRow="0" w:firstColumn="1" w:lastColumn="0" w:noHBand="0" w:noVBand="1"/>
      </w:tblPr>
      <w:tblGrid>
        <w:gridCol w:w="315"/>
        <w:gridCol w:w="8757"/>
      </w:tblGrid>
      <w:tr>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(2)</w:t>
            </w:r>
          </w:p>
        </w:tc>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 xml:space="preserve">the </w:t>
            </w:r>
            <w:r>
              <w:rPr>
                <w:rFonts w:ascii="Times New Roman" w:eastAsia="Times New Roman" w:hAnsi="Times New Roman" w:cs="Times New Roman"/>
                <w:color w:val="FF0000"/>
                <w:sz w:val="27"/>
                <w:szCs w:val="27"/>
              </w:rPr>
              <w:t xml:space="preserve">presentation </w:t>
            </w:r>
            <w:r>
              <w:rPr>
                <w:rFonts w:ascii="Times New Roman" w:eastAsia="Times New Roman" w:hAnsi="Times New Roman" w:cs="Times New Roman"/>
                <w:color w:val="333333"/>
                <w:sz w:val="27"/>
                <w:szCs w:val="27"/>
              </w:rPr>
              <w:t>of attributes of person identification data and electronic attestations of attributes, to wallet-relying parties and other wallet units;</w:t>
            </w:r>
          </w:p>
        </w:tc>
      </w:tr>
    </w:tbl>
    <w:p>
      <w:pPr>
        <w:spacing w:after="0" w:line="240" w:lineRule="auto"/>
        <w:rPr>
          <w:rFonts w:ascii="Times New Roman" w:eastAsia="Times New Roman" w:hAnsi="Times New Roman" w:cs="Times New Roman"/>
          <w:vanish/>
          <w:sz w:val="24"/>
          <w:szCs w:val="24"/>
        </w:rPr>
      </w:pPr>
    </w:p>
    <w:tbl>
      <w:tblPr>
        <w:tblW w:w="5000" w:type="pct"/>
        <w:shd w:val="clear" w:color="auto" w:fill="FFFFFF"/>
        <w:tblCellMar>
          <w:left w:w="0" w:type="dxa"/>
          <w:right w:w="0" w:type="dxa"/>
        </w:tblCellMar>
        <w:tblLook w:val="04A0" w:firstRow="1" w:lastRow="0" w:firstColumn="1" w:lastColumn="0" w:noHBand="0" w:noVBand="1"/>
      </w:tblPr>
      <w:tblGrid>
        <w:gridCol w:w="370"/>
        <w:gridCol w:w="8702"/>
      </w:tblGrid>
      <w:tr>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(3)</w:t>
            </w:r>
          </w:p>
        </w:tc>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 xml:space="preserve">the </w:t>
            </w:r>
            <w:r>
              <w:rPr>
                <w:rFonts w:ascii="Times New Roman" w:eastAsia="Times New Roman" w:hAnsi="Times New Roman" w:cs="Times New Roman"/>
                <w:color w:val="FF0000"/>
                <w:sz w:val="27"/>
                <w:szCs w:val="27"/>
              </w:rPr>
              <w:t xml:space="preserve">communication of data erasure requests </w:t>
            </w:r>
            <w:r>
              <w:rPr>
                <w:rFonts w:ascii="Times New Roman" w:eastAsia="Times New Roman" w:hAnsi="Times New Roman" w:cs="Times New Roman"/>
                <w:color w:val="333333"/>
                <w:sz w:val="27"/>
                <w:szCs w:val="27"/>
              </w:rPr>
              <w:t>to wallet-relying parties;</w:t>
            </w:r>
          </w:p>
        </w:tc>
      </w:tr>
    </w:tbl>
    <w:p>
      <w:pPr>
        <w:spacing w:after="0" w:line="240" w:lineRule="auto"/>
        <w:rPr>
          <w:rFonts w:ascii="Times New Roman" w:eastAsia="Times New Roman" w:hAnsi="Times New Roman" w:cs="Times New Roman"/>
          <w:vanish/>
          <w:sz w:val="24"/>
          <w:szCs w:val="24"/>
        </w:rPr>
      </w:pPr>
    </w:p>
    <w:tbl>
      <w:tblPr>
        <w:tblW w:w="5000" w:type="pct"/>
        <w:shd w:val="clear" w:color="auto" w:fill="FFFFFF"/>
        <w:tblCellMar>
          <w:left w:w="0" w:type="dxa"/>
          <w:right w:w="0" w:type="dxa"/>
        </w:tblCellMar>
        <w:tblLook w:val="04A0" w:firstRow="1" w:lastRow="0" w:firstColumn="1" w:lastColumn="0" w:noHBand="0" w:noVBand="1"/>
      </w:tblPr>
      <w:tblGrid>
        <w:gridCol w:w="315"/>
        <w:gridCol w:w="8757"/>
      </w:tblGrid>
      <w:tr>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(4)</w:t>
            </w:r>
          </w:p>
        </w:tc>
        <w:tc>
          <w:tcPr>
            <w:tcW w:w="0" w:type="auto"/>
            <w:shd w:val="clear" w:color="auto" w:fill="FFFFFF"/>
            <w:hideMark/>
          </w:tcPr>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 xml:space="preserve">the </w:t>
            </w:r>
            <w:r>
              <w:rPr>
                <w:rFonts w:ascii="Times New Roman" w:eastAsia="Times New Roman" w:hAnsi="Times New Roman" w:cs="Times New Roman"/>
                <w:color w:val="FF0000"/>
                <w:sz w:val="27"/>
                <w:szCs w:val="27"/>
              </w:rPr>
              <w:t xml:space="preserve">reporting </w:t>
            </w:r>
            <w:r>
              <w:rPr>
                <w:rFonts w:ascii="Times New Roman" w:eastAsia="Times New Roman" w:hAnsi="Times New Roman" w:cs="Times New Roman"/>
                <w:color w:val="333333"/>
                <w:sz w:val="27"/>
                <w:szCs w:val="27"/>
              </w:rPr>
              <w:t xml:space="preserve">of wallet-relying parties </w:t>
            </w:r>
            <w:r>
              <w:rPr>
                <w:rFonts w:ascii="Times New Roman" w:eastAsia="Times New Roman" w:hAnsi="Times New Roman" w:cs="Times New Roman"/>
                <w:color w:val="FF0000"/>
                <w:sz w:val="27"/>
                <w:szCs w:val="27"/>
              </w:rPr>
              <w:t xml:space="preserve">to supervisory authorities </w:t>
            </w:r>
            <w:r>
              <w:rPr>
                <w:rFonts w:ascii="Times New Roman" w:eastAsia="Times New Roman" w:hAnsi="Times New Roman" w:cs="Times New Roman"/>
                <w:color w:val="333333"/>
                <w:sz w:val="27"/>
                <w:szCs w:val="27"/>
              </w:rPr>
              <w:t>established under Article 51 of Regulation (EU) 2016/679;</w:t>
            </w:r>
          </w:p>
          <w:p>
            <w:pPr>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to be updated on a regular basis to keep in line with technology and standards developments and with the work carried out on the basis of Recommendation (EU) 2021/946, and in particular the Architecture and Reference Framework.</w:t>
            </w:r>
          </w:p>
        </w:tc>
      </w:tr>
    </w:tbl>
    <w:p>
      <w:pPr>
        <w:shd w:val="clear" w:color="auto" w:fill="FFFFFF"/>
        <w:spacing w:before="360" w:after="120" w:line="312" w:lineRule="atLeast"/>
        <w:jc w:val="center"/>
        <w:rPr>
          <w:rFonts w:ascii="Times New Roman" w:eastAsia="Times New Roman" w:hAnsi="Times New Roman" w:cs="Times New Roman"/>
          <w:i/>
          <w:iCs/>
          <w:color w:val="333333"/>
          <w:sz w:val="27"/>
          <w:szCs w:val="27"/>
        </w:rPr>
      </w:pPr>
      <w:r>
        <w:rPr>
          <w:rFonts w:ascii="Times New Roman" w:eastAsia="Times New Roman" w:hAnsi="Times New Roman" w:cs="Times New Roman"/>
          <w:i/>
          <w:iCs/>
          <w:color w:val="333333"/>
          <w:sz w:val="27"/>
          <w:szCs w:val="27"/>
        </w:rPr>
        <w:t>Article 4</w:t>
      </w:r>
    </w:p>
    <w:p>
      <w:pPr>
        <w:shd w:val="clear" w:color="auto" w:fill="FFFFFF"/>
        <w:spacing w:before="60" w:after="120" w:line="312" w:lineRule="atLeast"/>
        <w:jc w:val="center"/>
        <w:rPr>
          <w:rFonts w:ascii="Times New Roman" w:eastAsia="Times New Roman" w:hAnsi="Times New Roman" w:cs="Times New Roman"/>
          <w:b/>
          <w:bCs/>
          <w:color w:val="333333"/>
          <w:sz w:val="27"/>
          <w:szCs w:val="27"/>
        </w:rPr>
      </w:pPr>
      <w:r>
        <w:rPr>
          <w:rFonts w:ascii="Times New Roman" w:eastAsia="Times New Roman" w:hAnsi="Times New Roman" w:cs="Times New Roman"/>
          <w:b/>
          <w:bCs/>
          <w:color w:val="333333"/>
          <w:sz w:val="27"/>
          <w:szCs w:val="27"/>
        </w:rPr>
        <w:t>Issuance of person identification data and electronic attestations of attributes to wallet units</w:t>
      </w:r>
    </w:p>
    <w:p>
      <w:pPr>
        <w:shd w:val="clear" w:color="auto" w:fill="FFFFFF"/>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 xml:space="preserve">1.   Wallet providers shall ensure that wallet solutions </w:t>
      </w:r>
      <w:r>
        <w:rPr>
          <w:rFonts w:ascii="Times New Roman" w:eastAsia="Times New Roman" w:hAnsi="Times New Roman" w:cs="Times New Roman"/>
          <w:color w:val="FF0000"/>
          <w:sz w:val="27"/>
          <w:szCs w:val="27"/>
        </w:rPr>
        <w:t>support protocols and interfaces for the issuance</w:t>
      </w:r>
      <w:r>
        <w:rPr>
          <w:rFonts w:ascii="Times New Roman" w:eastAsia="Times New Roman" w:hAnsi="Times New Roman" w:cs="Times New Roman"/>
          <w:color w:val="333333"/>
          <w:sz w:val="27"/>
          <w:szCs w:val="27"/>
        </w:rPr>
        <w:t xml:space="preserve"> of person identification data and electronic attestations of attributes to wallet units.</w:t>
      </w:r>
    </w:p>
    <w:p>
      <w:pPr>
        <w:shd w:val="clear" w:color="auto" w:fill="FFFFFF"/>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 xml:space="preserve">2.   Wallet providers shall ensure that wallet units </w:t>
      </w:r>
      <w:r>
        <w:rPr>
          <w:rFonts w:ascii="Times New Roman" w:eastAsia="Times New Roman" w:hAnsi="Times New Roman" w:cs="Times New Roman"/>
          <w:color w:val="FF0000"/>
          <w:sz w:val="27"/>
          <w:szCs w:val="27"/>
        </w:rPr>
        <w:t>request issuance</w:t>
      </w:r>
      <w:r>
        <w:rPr>
          <w:rFonts w:ascii="Times New Roman" w:eastAsia="Times New Roman" w:hAnsi="Times New Roman" w:cs="Times New Roman"/>
          <w:color w:val="333333"/>
          <w:sz w:val="27"/>
          <w:szCs w:val="27"/>
        </w:rPr>
        <w:t xml:space="preserve"> of person identification data and electronic attestations of attributes </w:t>
      </w:r>
      <w:r>
        <w:rPr>
          <w:rFonts w:ascii="Times New Roman" w:eastAsia="Times New Roman" w:hAnsi="Times New Roman" w:cs="Times New Roman"/>
          <w:color w:val="FF0000"/>
          <w:sz w:val="27"/>
          <w:szCs w:val="27"/>
        </w:rPr>
        <w:t xml:space="preserve">only from parties having an authentic and valid wallet-relying party access certificate </w:t>
      </w:r>
      <w:r>
        <w:rPr>
          <w:rFonts w:ascii="Times New Roman" w:eastAsia="Times New Roman" w:hAnsi="Times New Roman" w:cs="Times New Roman"/>
          <w:color w:val="333333"/>
          <w:sz w:val="27"/>
          <w:szCs w:val="27"/>
        </w:rPr>
        <w:t>attesting them as:</w:t>
      </w:r>
    </w:p>
    <w:tbl>
      <w:tblPr>
        <w:tblW w:w="5000" w:type="pct"/>
        <w:tblCellMar>
          <w:left w:w="0" w:type="dxa"/>
          <w:right w:w="0" w:type="dxa"/>
        </w:tblCellMar>
        <w:tblLook w:val="04A0" w:firstRow="1" w:lastRow="0" w:firstColumn="1" w:lastColumn="0" w:noHBand="0" w:noVBand="1"/>
      </w:tblPr>
      <w:tblGrid>
        <w:gridCol w:w="595"/>
        <w:gridCol w:w="8477"/>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provider of </w:t>
            </w:r>
            <w:r>
              <w:rPr>
                <w:rFonts w:ascii="Times New Roman" w:eastAsia="Times New Roman" w:hAnsi="Times New Roman" w:cs="Times New Roman"/>
                <w:color w:val="FF0000"/>
                <w:sz w:val="24"/>
                <w:szCs w:val="24"/>
              </w:rPr>
              <w:t>person identification data</w:t>
            </w:r>
            <w:r>
              <w:rPr>
                <w:rFonts w:ascii="Times New Roman" w:eastAsia="Times New Roman" w:hAnsi="Times New Roman" w:cs="Times New Roman"/>
                <w:sz w:val="24"/>
                <w:szCs w:val="24"/>
              </w:rPr>
              <w:t>;</w:t>
            </w:r>
          </w:p>
        </w:tc>
      </w:tr>
    </w:tbl>
    <w:p>
      <w:pPr>
        <w:shd w:val="clear" w:color="auto" w:fill="FFFFFF"/>
        <w:spacing w:after="0" w:line="240" w:lineRule="auto"/>
        <w:rPr>
          <w:rFonts w:ascii="Times New Roman" w:eastAsia="Times New Roman" w:hAnsi="Times New Roman" w:cs="Times New Roman"/>
          <w:vanish/>
          <w:color w:val="333333"/>
          <w:sz w:val="27"/>
          <w:szCs w:val="27"/>
        </w:rPr>
      </w:pPr>
    </w:p>
    <w:tbl>
      <w:tblPr>
        <w:tblW w:w="5000" w:type="pct"/>
        <w:tblCellMar>
          <w:left w:w="0" w:type="dxa"/>
          <w:right w:w="0" w:type="dxa"/>
        </w:tblCellMar>
        <w:tblLook w:val="04A0" w:firstRow="1" w:lastRow="0" w:firstColumn="1" w:lastColumn="0" w:noHBand="0" w:noVBand="1"/>
      </w:tblPr>
      <w:tblGrid>
        <w:gridCol w:w="428"/>
        <w:gridCol w:w="8644"/>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provider of a </w:t>
            </w:r>
            <w:r>
              <w:rPr>
                <w:rFonts w:ascii="Times New Roman" w:eastAsia="Times New Roman" w:hAnsi="Times New Roman" w:cs="Times New Roman"/>
                <w:color w:val="FF0000"/>
                <w:sz w:val="24"/>
                <w:szCs w:val="24"/>
              </w:rPr>
              <w:t>qualified electronic attestation of attributes</w:t>
            </w:r>
            <w:r>
              <w:rPr>
                <w:rFonts w:ascii="Times New Roman" w:eastAsia="Times New Roman" w:hAnsi="Times New Roman" w:cs="Times New Roman"/>
                <w:sz w:val="24"/>
                <w:szCs w:val="24"/>
              </w:rPr>
              <w:t>;</w:t>
            </w:r>
          </w:p>
        </w:tc>
      </w:tr>
    </w:tbl>
    <w:p>
      <w:pPr>
        <w:shd w:val="clear" w:color="auto" w:fill="FFFFFF"/>
        <w:spacing w:after="0" w:line="240" w:lineRule="auto"/>
        <w:rPr>
          <w:rFonts w:ascii="Times New Roman" w:eastAsia="Times New Roman" w:hAnsi="Times New Roman" w:cs="Times New Roman"/>
          <w:vanish/>
          <w:color w:val="333333"/>
          <w:sz w:val="27"/>
          <w:szCs w:val="27"/>
        </w:rPr>
      </w:pPr>
    </w:p>
    <w:tbl>
      <w:tblPr>
        <w:tblW w:w="5000" w:type="pct"/>
        <w:tblCellMar>
          <w:left w:w="0" w:type="dxa"/>
          <w:right w:w="0" w:type="dxa"/>
        </w:tblCellMar>
        <w:tblLook w:val="04A0" w:firstRow="1" w:lastRow="0" w:firstColumn="1" w:lastColumn="0" w:noHBand="0" w:noVBand="1"/>
      </w:tblPr>
      <w:tblGrid>
        <w:gridCol w:w="267"/>
        <w:gridCol w:w="8805"/>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provider of </w:t>
            </w:r>
            <w:r>
              <w:rPr>
                <w:rFonts w:ascii="Times New Roman" w:eastAsia="Times New Roman" w:hAnsi="Times New Roman" w:cs="Times New Roman"/>
                <w:color w:val="FF0000"/>
                <w:sz w:val="24"/>
                <w:szCs w:val="24"/>
              </w:rPr>
              <w:t>an electronic attestation of attributes</w:t>
            </w:r>
            <w:r>
              <w:rPr>
                <w:rFonts w:ascii="Times New Roman" w:eastAsia="Times New Roman" w:hAnsi="Times New Roman" w:cs="Times New Roman"/>
                <w:sz w:val="24"/>
                <w:szCs w:val="24"/>
              </w:rPr>
              <w:t xml:space="preserve"> issued by or on behalf of a public sector body responsible for an authentic source; or</w:t>
            </w:r>
          </w:p>
        </w:tc>
      </w:tr>
    </w:tbl>
    <w:p>
      <w:pPr>
        <w:shd w:val="clear" w:color="auto" w:fill="FFFFFF"/>
        <w:spacing w:after="0" w:line="240" w:lineRule="auto"/>
        <w:rPr>
          <w:rFonts w:ascii="Times New Roman" w:eastAsia="Times New Roman" w:hAnsi="Times New Roman" w:cs="Times New Roman"/>
          <w:vanish/>
          <w:color w:val="333333"/>
          <w:sz w:val="27"/>
          <w:szCs w:val="27"/>
        </w:rPr>
      </w:pPr>
    </w:p>
    <w:tbl>
      <w:tblPr>
        <w:tblW w:w="5000" w:type="pct"/>
        <w:tblCellMar>
          <w:left w:w="0" w:type="dxa"/>
          <w:right w:w="0" w:type="dxa"/>
        </w:tblCellMar>
        <w:tblLook w:val="04A0" w:firstRow="1" w:lastRow="0" w:firstColumn="1" w:lastColumn="0" w:noHBand="0" w:noVBand="1"/>
      </w:tblPr>
      <w:tblGrid>
        <w:gridCol w:w="404"/>
        <w:gridCol w:w="8668"/>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provider of </w:t>
            </w:r>
            <w:r>
              <w:rPr>
                <w:rFonts w:ascii="Times New Roman" w:eastAsia="Times New Roman" w:hAnsi="Times New Roman" w:cs="Times New Roman"/>
                <w:color w:val="FF0000"/>
                <w:sz w:val="24"/>
                <w:szCs w:val="24"/>
              </w:rPr>
              <w:t>non-qualified electronic attestations of attributes</w:t>
            </w:r>
            <w:r>
              <w:rPr>
                <w:rFonts w:ascii="Times New Roman" w:eastAsia="Times New Roman" w:hAnsi="Times New Roman" w:cs="Times New Roman"/>
                <w:sz w:val="24"/>
                <w:szCs w:val="24"/>
              </w:rPr>
              <w:t>.</w:t>
            </w:r>
          </w:p>
        </w:tc>
      </w:tr>
    </w:tbl>
    <w:p>
      <w:pPr>
        <w:shd w:val="clear" w:color="auto" w:fill="FFFFFF"/>
        <w:spacing w:before="120" w:after="0" w:line="312" w:lineRule="atLeast"/>
        <w:jc w:val="both"/>
        <w:rPr>
          <w:rFonts w:ascii="Times New Roman" w:eastAsia="Times New Roman" w:hAnsi="Times New Roman" w:cs="Times New Roman"/>
          <w:color w:val="333333"/>
          <w:sz w:val="27"/>
          <w:szCs w:val="27"/>
        </w:rPr>
      </w:pPr>
      <w:r>
        <w:rPr>
          <w:rFonts w:ascii="Times New Roman" w:eastAsia="Times New Roman" w:hAnsi="Times New Roman" w:cs="Times New Roman"/>
          <w:color w:val="333333"/>
          <w:sz w:val="27"/>
          <w:szCs w:val="27"/>
        </w:rPr>
        <w:t>3.   In relation to the issuance of person identification data and electronic attestations of attributes to a wallet unit, wallet providers shall ensure that the following requirements are complied with:</w:t>
      </w:r>
    </w:p>
    <w:tbl>
      <w:tblPr>
        <w:tblW w:w="5000" w:type="pct"/>
        <w:tblCellMar>
          <w:left w:w="0" w:type="dxa"/>
          <w:right w:w="0" w:type="dxa"/>
        </w:tblCellMar>
        <w:tblLook w:val="04A0" w:firstRow="1" w:lastRow="0" w:firstColumn="1" w:lastColumn="0" w:noHBand="0" w:noVBand="1"/>
      </w:tblPr>
      <w:tblGrid>
        <w:gridCol w:w="267"/>
        <w:gridCol w:w="8805"/>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where wallet users use their wallet unit to </w:t>
            </w:r>
            <w:r>
              <w:rPr>
                <w:rFonts w:ascii="Times New Roman" w:eastAsia="Times New Roman" w:hAnsi="Times New Roman" w:cs="Times New Roman"/>
                <w:color w:val="FF0000"/>
                <w:sz w:val="24"/>
                <w:szCs w:val="24"/>
              </w:rPr>
              <w:t xml:space="preserve">request the issuance </w:t>
            </w:r>
            <w:r>
              <w:rPr>
                <w:rFonts w:ascii="Times New Roman" w:eastAsia="Times New Roman" w:hAnsi="Times New Roman" w:cs="Times New Roman"/>
                <w:sz w:val="24"/>
                <w:szCs w:val="24"/>
              </w:rPr>
              <w:t xml:space="preserve">of person identification data or of electronic attestations of attributes from providers of person identification data or </w:t>
            </w:r>
            <w:r>
              <w:rPr>
                <w:rFonts w:ascii="Times New Roman" w:eastAsia="Times New Roman" w:hAnsi="Times New Roman" w:cs="Times New Roman"/>
                <w:sz w:val="24"/>
                <w:szCs w:val="24"/>
              </w:rPr>
              <w:lastRenderedPageBreak/>
              <w:t xml:space="preserve">providers of electronic attestations of attributes that enable issuance of person identification data or electronic attestations </w:t>
            </w:r>
            <w:r>
              <w:rPr>
                <w:rFonts w:ascii="Times New Roman" w:eastAsia="Times New Roman" w:hAnsi="Times New Roman" w:cs="Times New Roman"/>
                <w:color w:val="FF0000"/>
                <w:sz w:val="24"/>
                <w:szCs w:val="24"/>
              </w:rPr>
              <w:t>in more than one format</w:t>
            </w:r>
            <w:r>
              <w:rPr>
                <w:rFonts w:ascii="Times New Roman" w:eastAsia="Times New Roman" w:hAnsi="Times New Roman" w:cs="Times New Roman"/>
                <w:sz w:val="24"/>
                <w:szCs w:val="24"/>
              </w:rPr>
              <w:t xml:space="preserve">, the </w:t>
            </w:r>
            <w:r>
              <w:rPr>
                <w:rFonts w:ascii="Times New Roman" w:eastAsia="Times New Roman" w:hAnsi="Times New Roman" w:cs="Times New Roman"/>
                <w:color w:val="FF0000"/>
                <w:sz w:val="24"/>
                <w:szCs w:val="24"/>
              </w:rPr>
              <w:t>wallet unit shall request it in all formats</w:t>
            </w:r>
            <w:r>
              <w:rPr>
                <w:rFonts w:ascii="Times New Roman" w:eastAsia="Times New Roman" w:hAnsi="Times New Roman" w:cs="Times New Roman"/>
                <w:sz w:val="24"/>
                <w:szCs w:val="24"/>
              </w:rPr>
              <w:t xml:space="preserve"> referred to in Article 8 of Implementing Regulation (EU) 2024/2979 laying down rules for the application of Regulation (EU) No 910/2014 as regards the integrity and core functionalities of European Digital Identity Wallets;</w:t>
            </w:r>
          </w:p>
        </w:tc>
      </w:tr>
    </w:tbl>
    <w:p>
      <w:pPr>
        <w:shd w:val="clear" w:color="auto" w:fill="FFFFFF"/>
        <w:spacing w:after="0" w:line="240" w:lineRule="auto"/>
        <w:rPr>
          <w:rFonts w:ascii="Times New Roman" w:eastAsia="Times New Roman" w:hAnsi="Times New Roman" w:cs="Times New Roman"/>
          <w:vanish/>
          <w:color w:val="333333"/>
          <w:sz w:val="27"/>
          <w:szCs w:val="27"/>
        </w:rPr>
      </w:pPr>
    </w:p>
    <w:tbl>
      <w:tblPr>
        <w:tblW w:w="5000" w:type="pct"/>
        <w:tblCellMar>
          <w:left w:w="0" w:type="dxa"/>
          <w:right w:w="0" w:type="dxa"/>
        </w:tblCellMar>
        <w:tblLook w:val="04A0" w:firstRow="1" w:lastRow="0" w:firstColumn="1" w:lastColumn="0" w:noHBand="0" w:noVBand="1"/>
      </w:tblPr>
      <w:tblGrid>
        <w:gridCol w:w="280"/>
        <w:gridCol w:w="879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where wallet users use their wallet unit to </w:t>
            </w:r>
            <w:r>
              <w:rPr>
                <w:rFonts w:ascii="Times New Roman" w:eastAsia="Times New Roman" w:hAnsi="Times New Roman" w:cs="Times New Roman"/>
                <w:color w:val="FF0000"/>
                <w:sz w:val="24"/>
                <w:szCs w:val="24"/>
              </w:rPr>
              <w:t xml:space="preserve">interact with providers </w:t>
            </w:r>
            <w:r>
              <w:rPr>
                <w:rFonts w:ascii="Times New Roman" w:eastAsia="Times New Roman" w:hAnsi="Times New Roman" w:cs="Times New Roman"/>
                <w:sz w:val="24"/>
                <w:szCs w:val="24"/>
              </w:rPr>
              <w:t xml:space="preserve">of person identification data or electronic attestations of attributes, wallet units shall enable </w:t>
            </w:r>
            <w:r>
              <w:rPr>
                <w:rFonts w:ascii="Times New Roman" w:eastAsia="Times New Roman" w:hAnsi="Times New Roman" w:cs="Times New Roman"/>
                <w:color w:val="FF0000"/>
                <w:sz w:val="24"/>
                <w:szCs w:val="24"/>
              </w:rPr>
              <w:t xml:space="preserve">authentication and validation of the wallet unit </w:t>
            </w:r>
            <w:r>
              <w:rPr>
                <w:rFonts w:ascii="Times New Roman" w:eastAsia="Times New Roman" w:hAnsi="Times New Roman" w:cs="Times New Roman"/>
                <w:sz w:val="24"/>
                <w:szCs w:val="24"/>
              </w:rPr>
              <w:t>components by presenting the wallet unit attestations to those providers upon their request;</w:t>
            </w:r>
          </w:p>
        </w:tc>
      </w:tr>
    </w:tbl>
    <w:p>
      <w:pPr>
        <w:shd w:val="clear" w:color="auto" w:fill="FFFFFF"/>
        <w:spacing w:after="0" w:line="240" w:lineRule="auto"/>
        <w:rPr>
          <w:rFonts w:ascii="Times New Roman" w:eastAsia="Times New Roman" w:hAnsi="Times New Roman" w:cs="Times New Roman"/>
          <w:vanish/>
          <w:color w:val="333333"/>
          <w:sz w:val="27"/>
          <w:szCs w:val="27"/>
        </w:rPr>
      </w:pPr>
    </w:p>
    <w:tbl>
      <w:tblPr>
        <w:tblW w:w="5000" w:type="pct"/>
        <w:tblCellMar>
          <w:left w:w="0" w:type="dxa"/>
          <w:right w:w="0" w:type="dxa"/>
        </w:tblCellMar>
        <w:tblLook w:val="04A0" w:firstRow="1" w:lastRow="0" w:firstColumn="1" w:lastColumn="0" w:noHBand="0" w:noVBand="1"/>
      </w:tblPr>
      <w:tblGrid>
        <w:gridCol w:w="267"/>
        <w:gridCol w:w="8805"/>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wallet solutions shall support mechanisms that enable providers of person identification data to </w:t>
            </w:r>
            <w:r>
              <w:rPr>
                <w:rFonts w:ascii="Times New Roman" w:eastAsia="Times New Roman" w:hAnsi="Times New Roman" w:cs="Times New Roman"/>
                <w:color w:val="FF0000"/>
                <w:sz w:val="24"/>
                <w:szCs w:val="24"/>
              </w:rPr>
              <w:t xml:space="preserve">verify issuance, delivery and activation in compliance with assurance level </w:t>
            </w:r>
            <w:r>
              <w:rPr>
                <w:rFonts w:ascii="Times New Roman" w:eastAsia="Times New Roman" w:hAnsi="Times New Roman" w:cs="Times New Roman"/>
                <w:sz w:val="24"/>
                <w:szCs w:val="24"/>
              </w:rPr>
              <w:t>high requirements set out in Commission Implementing Regulation (EU) 2015/1502 </w:t>
            </w:r>
            <w:hyperlink r:id="rId5" w:anchor="ntr11-L_202402982EN.000101-E0011" w:history="1">
              <w:r>
                <w:rPr>
                  <w:rFonts w:ascii="Times New Roman" w:eastAsia="Times New Roman" w:hAnsi="Times New Roman" w:cs="Times New Roman"/>
                  <w:color w:val="0E47CB"/>
                  <w:sz w:val="24"/>
                  <w:szCs w:val="24"/>
                  <w:u w:val="single"/>
                </w:rPr>
                <w:t>(</w:t>
              </w:r>
              <w:r>
                <w:rPr>
                  <w:rFonts w:ascii="Times New Roman" w:eastAsia="Times New Roman" w:hAnsi="Times New Roman" w:cs="Times New Roman"/>
                  <w:color w:val="0E47CB"/>
                  <w:sz w:val="17"/>
                  <w:szCs w:val="17"/>
                  <w:vertAlign w:val="superscript"/>
                </w:rPr>
                <w:t>11</w:t>
              </w:r>
              <w:r>
                <w:rPr>
                  <w:rFonts w:ascii="Times New Roman" w:eastAsia="Times New Roman" w:hAnsi="Times New Roman" w:cs="Times New Roman"/>
                  <w:color w:val="0E47CB"/>
                  <w:sz w:val="24"/>
                  <w:szCs w:val="24"/>
                  <w:u w:val="single"/>
                </w:rPr>
                <w:t>)</w:t>
              </w:r>
            </w:hyperlink>
            <w:r>
              <w:rPr>
                <w:rFonts w:ascii="Times New Roman" w:eastAsia="Times New Roman" w:hAnsi="Times New Roman" w:cs="Times New Roman"/>
                <w:sz w:val="24"/>
                <w:szCs w:val="24"/>
              </w:rPr>
              <w:t>;</w:t>
            </w:r>
          </w:p>
        </w:tc>
      </w:tr>
    </w:tbl>
    <w:p>
      <w:pPr>
        <w:shd w:val="clear" w:color="auto" w:fill="FFFFFF"/>
        <w:spacing w:after="0" w:line="240" w:lineRule="auto"/>
        <w:rPr>
          <w:rFonts w:ascii="Times New Roman" w:eastAsia="Times New Roman" w:hAnsi="Times New Roman" w:cs="Times New Roman"/>
          <w:vanish/>
          <w:color w:val="333333"/>
          <w:sz w:val="27"/>
          <w:szCs w:val="27"/>
        </w:rPr>
      </w:pPr>
    </w:p>
    <w:tbl>
      <w:tblPr>
        <w:tblW w:w="5000" w:type="pct"/>
        <w:tblCellMar>
          <w:left w:w="0" w:type="dxa"/>
          <w:right w:w="0" w:type="dxa"/>
        </w:tblCellMar>
        <w:tblLook w:val="04A0" w:firstRow="1" w:lastRow="0" w:firstColumn="1" w:lastColumn="0" w:noHBand="0" w:noVBand="1"/>
      </w:tblPr>
      <w:tblGrid>
        <w:gridCol w:w="280"/>
        <w:gridCol w:w="8792"/>
      </w:tblGrid>
      <w:tr>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w:t>
            </w:r>
          </w:p>
        </w:tc>
        <w:tc>
          <w:tcPr>
            <w:tcW w:w="0" w:type="auto"/>
            <w:shd w:val="clear" w:color="auto" w:fill="auto"/>
            <w:hideMark/>
          </w:tcPr>
          <w:p>
            <w:pPr>
              <w:spacing w:before="120" w:after="0" w:line="312" w:lineRule="atLeast"/>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wallet units shall </w:t>
            </w:r>
            <w:r>
              <w:rPr>
                <w:rFonts w:ascii="Times New Roman" w:eastAsia="Times New Roman" w:hAnsi="Times New Roman" w:cs="Times New Roman"/>
                <w:color w:val="FF0000"/>
                <w:sz w:val="24"/>
                <w:szCs w:val="24"/>
              </w:rPr>
              <w:t xml:space="preserve">verify the authenticity and validity </w:t>
            </w:r>
            <w:r>
              <w:rPr>
                <w:rFonts w:ascii="Times New Roman" w:eastAsia="Times New Roman" w:hAnsi="Times New Roman" w:cs="Times New Roman"/>
                <w:sz w:val="24"/>
                <w:szCs w:val="24"/>
              </w:rPr>
              <w:t>of person identification data and electronic attestations of attributes.</w:t>
            </w:r>
          </w:p>
        </w:tc>
      </w:tr>
    </w:tbl>
    <w:p>
      <w:pPr>
        <w:spacing w:before="120" w:after="0" w:line="312" w:lineRule="atLeast"/>
      </w:pPr>
    </w:p>
    <w:p>
      <w:pPr>
        <w:pStyle w:val="oj-ti-art"/>
        <w:shd w:val="clear" w:color="auto" w:fill="FFFFFF"/>
        <w:spacing w:before="360" w:beforeAutospacing="0" w:after="120" w:afterAutospacing="0" w:line="312" w:lineRule="atLeast"/>
        <w:jc w:val="center"/>
        <w:rPr>
          <w:i/>
          <w:iCs/>
          <w:color w:val="333333"/>
          <w:sz w:val="27"/>
          <w:szCs w:val="27"/>
        </w:rPr>
      </w:pPr>
      <w:r>
        <w:rPr>
          <w:i/>
          <w:iCs/>
          <w:color w:val="333333"/>
          <w:sz w:val="27"/>
          <w:szCs w:val="27"/>
        </w:rPr>
        <w:t>Article 6</w:t>
      </w:r>
    </w:p>
    <w:p>
      <w:pPr>
        <w:pStyle w:val="oj-sti-art"/>
        <w:shd w:val="clear" w:color="auto" w:fill="FFFFFF"/>
        <w:spacing w:before="60" w:beforeAutospacing="0" w:after="120" w:afterAutospacing="0" w:line="312" w:lineRule="atLeast"/>
        <w:jc w:val="center"/>
        <w:rPr>
          <w:b/>
          <w:bCs/>
          <w:color w:val="333333"/>
          <w:sz w:val="27"/>
          <w:szCs w:val="27"/>
        </w:rPr>
      </w:pPr>
      <w:r>
        <w:rPr>
          <w:b/>
          <w:bCs/>
          <w:color w:val="333333"/>
          <w:sz w:val="27"/>
          <w:szCs w:val="27"/>
        </w:rPr>
        <w:t>Communication of data erasure requests</w:t>
      </w:r>
    </w:p>
    <w:p>
      <w:pPr>
        <w:pStyle w:val="oj-normal"/>
        <w:shd w:val="clear" w:color="auto" w:fill="FFFFFF"/>
        <w:spacing w:before="120" w:beforeAutospacing="0" w:after="0" w:afterAutospacing="0" w:line="312" w:lineRule="atLeast"/>
        <w:jc w:val="both"/>
        <w:rPr>
          <w:color w:val="333333"/>
          <w:sz w:val="27"/>
          <w:szCs w:val="27"/>
        </w:rPr>
      </w:pPr>
      <w:r>
        <w:rPr>
          <w:color w:val="333333"/>
          <w:sz w:val="27"/>
          <w:szCs w:val="27"/>
        </w:rPr>
        <w:t xml:space="preserve">1.   Wallet providers shall ensure that wallet units support protocols and interfaces allowing wallet users to </w:t>
      </w:r>
      <w:r>
        <w:rPr>
          <w:color w:val="FF0000"/>
          <w:sz w:val="27"/>
          <w:szCs w:val="27"/>
        </w:rPr>
        <w:t>request from wallet-relying parties, with whom they have interacted through those wallet units</w:t>
      </w:r>
      <w:r>
        <w:rPr>
          <w:color w:val="333333"/>
          <w:sz w:val="27"/>
          <w:szCs w:val="27"/>
        </w:rPr>
        <w:t>, the erasure of their personal data provided through those wallet units, in accordance with Article 17 of Regulation (EU) 2016/679.</w:t>
      </w:r>
    </w:p>
    <w:p>
      <w:pPr>
        <w:pStyle w:val="oj-normal"/>
        <w:shd w:val="clear" w:color="auto" w:fill="FFFFFF"/>
        <w:spacing w:before="120" w:beforeAutospacing="0" w:after="0" w:afterAutospacing="0" w:line="312" w:lineRule="atLeast"/>
        <w:jc w:val="both"/>
        <w:rPr>
          <w:color w:val="333333"/>
          <w:sz w:val="27"/>
          <w:szCs w:val="27"/>
        </w:rPr>
      </w:pPr>
      <w:r>
        <w:rPr>
          <w:color w:val="333333"/>
          <w:sz w:val="27"/>
          <w:szCs w:val="27"/>
        </w:rPr>
        <w:t xml:space="preserve">2.   The protocols and interfaces referred to in paragraph 1 shall allow wallet users to select the wallet-relying parties to which </w:t>
      </w:r>
      <w:r>
        <w:rPr>
          <w:color w:val="FF0000"/>
          <w:sz w:val="27"/>
          <w:szCs w:val="27"/>
        </w:rPr>
        <w:t xml:space="preserve">data erasure requests </w:t>
      </w:r>
      <w:r>
        <w:rPr>
          <w:color w:val="333333"/>
          <w:sz w:val="27"/>
          <w:szCs w:val="27"/>
        </w:rPr>
        <w:t>are to be submitted.</w:t>
      </w:r>
    </w:p>
    <w:p>
      <w:pPr>
        <w:pStyle w:val="oj-normal"/>
        <w:shd w:val="clear" w:color="auto" w:fill="FFFFFF"/>
        <w:spacing w:before="120" w:beforeAutospacing="0" w:after="0" w:afterAutospacing="0" w:line="312" w:lineRule="atLeast"/>
        <w:jc w:val="both"/>
        <w:rPr>
          <w:color w:val="333333"/>
          <w:sz w:val="27"/>
          <w:szCs w:val="27"/>
        </w:rPr>
      </w:pPr>
      <w:r>
        <w:rPr>
          <w:color w:val="333333"/>
          <w:sz w:val="27"/>
          <w:szCs w:val="27"/>
        </w:rPr>
        <w:t xml:space="preserve">3.   Wallet units shall </w:t>
      </w:r>
      <w:r>
        <w:rPr>
          <w:color w:val="FF0000"/>
          <w:sz w:val="27"/>
          <w:szCs w:val="27"/>
        </w:rPr>
        <w:t xml:space="preserve">display </w:t>
      </w:r>
      <w:r>
        <w:rPr>
          <w:color w:val="333333"/>
          <w:sz w:val="27"/>
          <w:szCs w:val="27"/>
        </w:rPr>
        <w:t>to the wallet user previously submitted data erasure requests made through those wallet units.</w:t>
      </w:r>
    </w:p>
    <w:p>
      <w:pPr>
        <w:pStyle w:val="oj-ti-art"/>
        <w:shd w:val="clear" w:color="auto" w:fill="FFFFFF"/>
        <w:spacing w:before="360" w:beforeAutospacing="0" w:after="120" w:afterAutospacing="0" w:line="312" w:lineRule="atLeast"/>
        <w:jc w:val="center"/>
        <w:rPr>
          <w:i/>
          <w:iCs/>
          <w:color w:val="333333"/>
          <w:sz w:val="27"/>
          <w:szCs w:val="27"/>
        </w:rPr>
      </w:pPr>
      <w:r>
        <w:rPr>
          <w:i/>
          <w:iCs/>
          <w:color w:val="333333"/>
          <w:sz w:val="27"/>
          <w:szCs w:val="27"/>
        </w:rPr>
        <w:t>Article 7</w:t>
      </w:r>
    </w:p>
    <w:p>
      <w:pPr>
        <w:pStyle w:val="oj-sti-art"/>
        <w:shd w:val="clear" w:color="auto" w:fill="FFFFFF"/>
        <w:spacing w:before="60" w:beforeAutospacing="0" w:after="120" w:afterAutospacing="0" w:line="312" w:lineRule="atLeast"/>
        <w:jc w:val="center"/>
        <w:rPr>
          <w:b/>
          <w:bCs/>
          <w:color w:val="333333"/>
          <w:sz w:val="27"/>
          <w:szCs w:val="27"/>
        </w:rPr>
      </w:pPr>
      <w:r>
        <w:rPr>
          <w:b/>
          <w:bCs/>
          <w:color w:val="333333"/>
          <w:sz w:val="27"/>
          <w:szCs w:val="27"/>
        </w:rPr>
        <w:t>Reporting of wallet-relying parties to supervisory authorities established under Article 51 of Regulation (EU) 2016/679</w:t>
      </w:r>
    </w:p>
    <w:p>
      <w:pPr>
        <w:pStyle w:val="oj-normal"/>
        <w:shd w:val="clear" w:color="auto" w:fill="FFFFFF"/>
        <w:spacing w:before="120" w:beforeAutospacing="0" w:after="0" w:afterAutospacing="0" w:line="312" w:lineRule="atLeast"/>
        <w:jc w:val="both"/>
        <w:rPr>
          <w:color w:val="333333"/>
          <w:sz w:val="27"/>
          <w:szCs w:val="27"/>
        </w:rPr>
      </w:pPr>
    </w:p>
    <w:p>
      <w:pPr>
        <w:spacing w:before="120" w:after="0" w:line="312" w:lineRule="atLeast"/>
      </w:pPr>
    </w:p>
    <w:sectPr>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BD05C0-01B4-4579-BCD0-57F8C28AE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j-normal">
    <w:name w:val="oj-normal"/>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j-ti-art">
    <w:name w:val="oj-ti-art"/>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j-sti-art">
    <w:name w:val="oj-sti-art"/>
    <w:basedOn w:val="Normal"/>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Pr>
      <w:color w:val="0000FF"/>
      <w:u w:val="single"/>
    </w:rPr>
  </w:style>
  <w:style w:type="character" w:customStyle="1" w:styleId="oj-super">
    <w:name w:val="oj-super"/>
    <w:basedOn w:val="DefaultParagraphFont"/>
  </w:style>
  <w:style w:type="character" w:styleId="UnresolvedMention">
    <w:name w:val="Unresolved Mention"/>
    <w:basedOn w:val="DefaultParagraphFont"/>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271952">
      <w:bodyDiv w:val="1"/>
      <w:marLeft w:val="0"/>
      <w:marRight w:val="0"/>
      <w:marTop w:val="0"/>
      <w:marBottom w:val="0"/>
      <w:divBdr>
        <w:top w:val="none" w:sz="0" w:space="0" w:color="auto"/>
        <w:left w:val="none" w:sz="0" w:space="0" w:color="auto"/>
        <w:bottom w:val="none" w:sz="0" w:space="0" w:color="auto"/>
        <w:right w:val="none" w:sz="0" w:space="0" w:color="auto"/>
      </w:divBdr>
    </w:div>
    <w:div w:id="435490443">
      <w:bodyDiv w:val="1"/>
      <w:marLeft w:val="0"/>
      <w:marRight w:val="0"/>
      <w:marTop w:val="0"/>
      <w:marBottom w:val="0"/>
      <w:divBdr>
        <w:top w:val="none" w:sz="0" w:space="0" w:color="auto"/>
        <w:left w:val="none" w:sz="0" w:space="0" w:color="auto"/>
        <w:bottom w:val="none" w:sz="0" w:space="0" w:color="auto"/>
        <w:right w:val="none" w:sz="0" w:space="0" w:color="auto"/>
      </w:divBdr>
    </w:div>
    <w:div w:id="626282128">
      <w:bodyDiv w:val="1"/>
      <w:marLeft w:val="0"/>
      <w:marRight w:val="0"/>
      <w:marTop w:val="0"/>
      <w:marBottom w:val="0"/>
      <w:divBdr>
        <w:top w:val="none" w:sz="0" w:space="0" w:color="auto"/>
        <w:left w:val="none" w:sz="0" w:space="0" w:color="auto"/>
        <w:bottom w:val="none" w:sz="0" w:space="0" w:color="auto"/>
        <w:right w:val="none" w:sz="0" w:space="0" w:color="auto"/>
      </w:divBdr>
    </w:div>
    <w:div w:id="644893339">
      <w:bodyDiv w:val="1"/>
      <w:marLeft w:val="0"/>
      <w:marRight w:val="0"/>
      <w:marTop w:val="0"/>
      <w:marBottom w:val="0"/>
      <w:divBdr>
        <w:top w:val="none" w:sz="0" w:space="0" w:color="auto"/>
        <w:left w:val="none" w:sz="0" w:space="0" w:color="auto"/>
        <w:bottom w:val="none" w:sz="0" w:space="0" w:color="auto"/>
        <w:right w:val="none" w:sz="0" w:space="0" w:color="auto"/>
      </w:divBdr>
    </w:div>
    <w:div w:id="926110873">
      <w:bodyDiv w:val="1"/>
      <w:marLeft w:val="0"/>
      <w:marRight w:val="0"/>
      <w:marTop w:val="0"/>
      <w:marBottom w:val="0"/>
      <w:divBdr>
        <w:top w:val="none" w:sz="0" w:space="0" w:color="auto"/>
        <w:left w:val="none" w:sz="0" w:space="0" w:color="auto"/>
        <w:bottom w:val="none" w:sz="0" w:space="0" w:color="auto"/>
        <w:right w:val="none" w:sz="0" w:space="0" w:color="auto"/>
      </w:divBdr>
      <w:divsChild>
        <w:div w:id="1512253530">
          <w:marLeft w:val="180"/>
          <w:marRight w:val="180"/>
          <w:marTop w:val="180"/>
          <w:marBottom w:val="180"/>
          <w:divBdr>
            <w:top w:val="none" w:sz="0" w:space="0" w:color="auto"/>
            <w:left w:val="none" w:sz="0" w:space="0" w:color="auto"/>
            <w:bottom w:val="none" w:sz="0" w:space="0" w:color="auto"/>
            <w:right w:val="none" w:sz="0" w:space="0" w:color="auto"/>
          </w:divBdr>
          <w:divsChild>
            <w:div w:id="916674485">
              <w:marLeft w:val="0"/>
              <w:marRight w:val="0"/>
              <w:marTop w:val="0"/>
              <w:marBottom w:val="0"/>
              <w:divBdr>
                <w:top w:val="none" w:sz="0" w:space="0" w:color="auto"/>
                <w:left w:val="none" w:sz="0" w:space="0" w:color="auto"/>
                <w:bottom w:val="none" w:sz="0" w:space="0" w:color="auto"/>
                <w:right w:val="none" w:sz="0" w:space="0" w:color="auto"/>
              </w:divBdr>
            </w:div>
          </w:divsChild>
        </w:div>
        <w:div w:id="2059893837">
          <w:marLeft w:val="180"/>
          <w:marRight w:val="180"/>
          <w:marTop w:val="180"/>
          <w:marBottom w:val="180"/>
          <w:divBdr>
            <w:top w:val="none" w:sz="0" w:space="0" w:color="auto"/>
            <w:left w:val="none" w:sz="0" w:space="0" w:color="auto"/>
            <w:bottom w:val="none" w:sz="0" w:space="0" w:color="auto"/>
            <w:right w:val="none" w:sz="0" w:space="0" w:color="auto"/>
          </w:divBdr>
          <w:divsChild>
            <w:div w:id="579560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215804">
      <w:bodyDiv w:val="1"/>
      <w:marLeft w:val="0"/>
      <w:marRight w:val="0"/>
      <w:marTop w:val="0"/>
      <w:marBottom w:val="0"/>
      <w:divBdr>
        <w:top w:val="none" w:sz="0" w:space="0" w:color="auto"/>
        <w:left w:val="none" w:sz="0" w:space="0" w:color="auto"/>
        <w:bottom w:val="none" w:sz="0" w:space="0" w:color="auto"/>
        <w:right w:val="none" w:sz="0" w:space="0" w:color="auto"/>
      </w:divBdr>
      <w:divsChild>
        <w:div w:id="1134449991">
          <w:marLeft w:val="0"/>
          <w:marRight w:val="0"/>
          <w:marTop w:val="0"/>
          <w:marBottom w:val="0"/>
          <w:divBdr>
            <w:top w:val="none" w:sz="0" w:space="0" w:color="auto"/>
            <w:left w:val="none" w:sz="0" w:space="0" w:color="auto"/>
            <w:bottom w:val="none" w:sz="0" w:space="0" w:color="auto"/>
            <w:right w:val="none" w:sz="0" w:space="0" w:color="auto"/>
          </w:divBdr>
        </w:div>
        <w:div w:id="848568336">
          <w:marLeft w:val="0"/>
          <w:marRight w:val="0"/>
          <w:marTop w:val="0"/>
          <w:marBottom w:val="0"/>
          <w:divBdr>
            <w:top w:val="none" w:sz="0" w:space="0" w:color="auto"/>
            <w:left w:val="none" w:sz="0" w:space="0" w:color="auto"/>
            <w:bottom w:val="none" w:sz="0" w:space="0" w:color="auto"/>
            <w:right w:val="none" w:sz="0" w:space="0" w:color="auto"/>
          </w:divBdr>
        </w:div>
        <w:div w:id="199785015">
          <w:marLeft w:val="0"/>
          <w:marRight w:val="0"/>
          <w:marTop w:val="0"/>
          <w:marBottom w:val="0"/>
          <w:divBdr>
            <w:top w:val="none" w:sz="0" w:space="0" w:color="auto"/>
            <w:left w:val="none" w:sz="0" w:space="0" w:color="auto"/>
            <w:bottom w:val="none" w:sz="0" w:space="0" w:color="auto"/>
            <w:right w:val="none" w:sz="0" w:space="0" w:color="auto"/>
          </w:divBdr>
        </w:div>
        <w:div w:id="1251697653">
          <w:marLeft w:val="0"/>
          <w:marRight w:val="0"/>
          <w:marTop w:val="0"/>
          <w:marBottom w:val="0"/>
          <w:divBdr>
            <w:top w:val="none" w:sz="0" w:space="0" w:color="auto"/>
            <w:left w:val="none" w:sz="0" w:space="0" w:color="auto"/>
            <w:bottom w:val="none" w:sz="0" w:space="0" w:color="auto"/>
            <w:right w:val="none" w:sz="0" w:space="0" w:color="auto"/>
          </w:divBdr>
        </w:div>
      </w:divsChild>
    </w:div>
    <w:div w:id="2005893007">
      <w:bodyDiv w:val="1"/>
      <w:marLeft w:val="0"/>
      <w:marRight w:val="0"/>
      <w:marTop w:val="0"/>
      <w:marBottom w:val="0"/>
      <w:divBdr>
        <w:top w:val="none" w:sz="0" w:space="0" w:color="auto"/>
        <w:left w:val="none" w:sz="0" w:space="0" w:color="auto"/>
        <w:bottom w:val="none" w:sz="0" w:space="0" w:color="auto"/>
        <w:right w:val="none" w:sz="0" w:space="0" w:color="auto"/>
      </w:divBdr>
      <w:divsChild>
        <w:div w:id="7028484">
          <w:marLeft w:val="0"/>
          <w:marRight w:val="0"/>
          <w:marTop w:val="0"/>
          <w:marBottom w:val="0"/>
          <w:divBdr>
            <w:top w:val="none" w:sz="0" w:space="0" w:color="auto"/>
            <w:left w:val="none" w:sz="0" w:space="0" w:color="auto"/>
            <w:bottom w:val="none" w:sz="0" w:space="0" w:color="auto"/>
            <w:right w:val="none" w:sz="0" w:space="0" w:color="auto"/>
          </w:divBdr>
        </w:div>
        <w:div w:id="622733209">
          <w:marLeft w:val="0"/>
          <w:marRight w:val="0"/>
          <w:marTop w:val="0"/>
          <w:marBottom w:val="0"/>
          <w:divBdr>
            <w:top w:val="none" w:sz="0" w:space="0" w:color="auto"/>
            <w:left w:val="none" w:sz="0" w:space="0" w:color="auto"/>
            <w:bottom w:val="none" w:sz="0" w:space="0" w:color="auto"/>
            <w:right w:val="none" w:sz="0" w:space="0" w:color="auto"/>
          </w:divBdr>
        </w:div>
        <w:div w:id="962806761">
          <w:marLeft w:val="0"/>
          <w:marRight w:val="0"/>
          <w:marTop w:val="0"/>
          <w:marBottom w:val="0"/>
          <w:divBdr>
            <w:top w:val="none" w:sz="0" w:space="0" w:color="auto"/>
            <w:left w:val="none" w:sz="0" w:space="0" w:color="auto"/>
            <w:bottom w:val="none" w:sz="0" w:space="0" w:color="auto"/>
            <w:right w:val="none" w:sz="0" w:space="0" w:color="auto"/>
          </w:divBdr>
        </w:div>
        <w:div w:id="1475833807">
          <w:marLeft w:val="0"/>
          <w:marRight w:val="0"/>
          <w:marTop w:val="0"/>
          <w:marBottom w:val="0"/>
          <w:divBdr>
            <w:top w:val="none" w:sz="0" w:space="0" w:color="auto"/>
            <w:left w:val="none" w:sz="0" w:space="0" w:color="auto"/>
            <w:bottom w:val="none" w:sz="0" w:space="0" w:color="auto"/>
            <w:right w:val="none" w:sz="0" w:space="0" w:color="auto"/>
          </w:divBdr>
        </w:div>
      </w:divsChild>
    </w:div>
    <w:div w:id="2080446528">
      <w:bodyDiv w:val="1"/>
      <w:marLeft w:val="0"/>
      <w:marRight w:val="0"/>
      <w:marTop w:val="0"/>
      <w:marBottom w:val="0"/>
      <w:divBdr>
        <w:top w:val="none" w:sz="0" w:space="0" w:color="auto"/>
        <w:left w:val="none" w:sz="0" w:space="0" w:color="auto"/>
        <w:bottom w:val="none" w:sz="0" w:space="0" w:color="auto"/>
        <w:right w:val="none" w:sz="0" w:space="0" w:color="auto"/>
      </w:divBdr>
      <w:divsChild>
        <w:div w:id="11633552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eur-lex.europa.eu/legal-content/EN/TXT/?uri=OJ:L_202402982" TargetMode="External"/><Relationship Id="rId4" Type="http://schemas.openxmlformats.org/officeDocument/2006/relationships/hyperlink" Target="https://eur-lex.europa.eu/legal-content/EN/TXT/?uri=OJ:L_202402982"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1128</Words>
  <Characters>6430</Characters>
  <Application>Microsoft Office Word</Application>
  <DocSecurity>4</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Akhavan Saraf, Amineh</dc:creator>
  <cp:keywords/>
  <dc:description/>
  <cp:lastModifiedBy>Akhavan Saraf, Amineh</cp:lastModifiedBy>
  <cp:revision>2</cp:revision>
  <dcterms:created xsi:type="dcterms:W3CDTF">2025-08-22T06:46:00Z</dcterms:created>
  <dcterms:modified xsi:type="dcterms:W3CDTF">2025-08-22T06:46:00Z</dcterms:modified>
</cp:coreProperties>
</file>