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dTable2-Accent1"/>
        <w:tblW w:w="0" w:type="auto"/>
        <w:tblLook w:val="04A0" w:firstRow="1" w:lastRow="0" w:firstColumn="1" w:lastColumn="0" w:noHBand="0" w:noVBand="1"/>
      </w:tblPr>
      <w:tblGrid>
        <w:gridCol w:w="1984"/>
        <w:gridCol w:w="1787"/>
        <w:gridCol w:w="2086"/>
        <w:gridCol w:w="2215"/>
        <w:gridCol w:w="1733"/>
        <w:gridCol w:w="4153"/>
      </w:tblGrid>
      <w:tr w:rsidR="00A53DEA" w14:paraId="790C8F5C" w14:textId="77777777" w:rsidTr="008D364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778ED021" w14:textId="77777777" w:rsidR="00177735" w:rsidRDefault="00177735" w:rsidP="00C22F5E"/>
        </w:tc>
        <w:tc>
          <w:tcPr>
            <w:tcW w:w="1787" w:type="dxa"/>
          </w:tcPr>
          <w:p w14:paraId="3CD3888F" w14:textId="77777777" w:rsidR="00177735" w:rsidRPr="008D3644" w:rsidRDefault="00177735" w:rsidP="00C22F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3644">
              <w:t>GDPR</w:t>
            </w:r>
          </w:p>
        </w:tc>
        <w:tc>
          <w:tcPr>
            <w:tcW w:w="2119" w:type="dxa"/>
          </w:tcPr>
          <w:p w14:paraId="1A2AB87C" w14:textId="77777777" w:rsidR="00177735" w:rsidRPr="008D3644" w:rsidRDefault="00177735" w:rsidP="00C22F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3644">
              <w:t>NIS2</w:t>
            </w:r>
          </w:p>
        </w:tc>
        <w:tc>
          <w:tcPr>
            <w:tcW w:w="2255" w:type="dxa"/>
          </w:tcPr>
          <w:p w14:paraId="73F41B0D" w14:textId="77777777" w:rsidR="00177735" w:rsidRPr="008D3644" w:rsidRDefault="00177735" w:rsidP="00C22F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3644">
              <w:t>AI Act</w:t>
            </w:r>
          </w:p>
        </w:tc>
        <w:tc>
          <w:tcPr>
            <w:tcW w:w="1550" w:type="dxa"/>
          </w:tcPr>
          <w:p w14:paraId="76BEAFCA" w14:textId="77777777" w:rsidR="00177735" w:rsidRPr="008D3644" w:rsidRDefault="00177735" w:rsidP="00C22F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3644">
              <w:t>DORA</w:t>
            </w:r>
          </w:p>
        </w:tc>
        <w:tc>
          <w:tcPr>
            <w:tcW w:w="4336" w:type="dxa"/>
          </w:tcPr>
          <w:p w14:paraId="0C6AD225" w14:textId="77777777" w:rsidR="00177735" w:rsidRPr="008D3644" w:rsidRDefault="00177735" w:rsidP="00C22F5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3644">
              <w:t>CRA</w:t>
            </w:r>
          </w:p>
        </w:tc>
      </w:tr>
      <w:tr w:rsidR="00A53DEA" w14:paraId="6E2F9688" w14:textId="77777777" w:rsidTr="008D36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71E4A5EB" w14:textId="77777777" w:rsidR="00177735" w:rsidRDefault="00177735" w:rsidP="00C22F5E">
            <w:r>
              <w:t xml:space="preserve">Enforced </w:t>
            </w:r>
          </w:p>
        </w:tc>
        <w:tc>
          <w:tcPr>
            <w:tcW w:w="1787" w:type="dxa"/>
          </w:tcPr>
          <w:p w14:paraId="6BBE1EF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2018</w:t>
            </w:r>
          </w:p>
        </w:tc>
        <w:tc>
          <w:tcPr>
            <w:tcW w:w="2119" w:type="dxa"/>
          </w:tcPr>
          <w:p w14:paraId="77B771B3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Oct 2024</w:t>
            </w:r>
          </w:p>
        </w:tc>
        <w:tc>
          <w:tcPr>
            <w:tcW w:w="2255" w:type="dxa"/>
          </w:tcPr>
          <w:p w14:paraId="5391DD3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Aug 2026</w:t>
            </w:r>
          </w:p>
        </w:tc>
        <w:tc>
          <w:tcPr>
            <w:tcW w:w="1550" w:type="dxa"/>
          </w:tcPr>
          <w:p w14:paraId="1DE10E5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Jan 2025</w:t>
            </w:r>
          </w:p>
        </w:tc>
        <w:tc>
          <w:tcPr>
            <w:tcW w:w="4336" w:type="dxa"/>
          </w:tcPr>
          <w:p w14:paraId="5DF07E71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Oct 2026</w:t>
            </w:r>
          </w:p>
        </w:tc>
      </w:tr>
      <w:tr w:rsidR="00561019" w14:paraId="53779A5D" w14:textId="77777777" w:rsidTr="008D36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2DF79D25" w14:textId="07DDC0E5" w:rsidR="00A53DEA" w:rsidRDefault="00A53DEA" w:rsidP="00C22F5E">
            <w:r>
              <w:t>Scope</w:t>
            </w:r>
          </w:p>
        </w:tc>
        <w:tc>
          <w:tcPr>
            <w:tcW w:w="1787" w:type="dxa"/>
          </w:tcPr>
          <w:p w14:paraId="0F545016" w14:textId="54557278" w:rsidR="00A53DEA" w:rsidRDefault="00A53DEA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Protection</w:t>
            </w:r>
          </w:p>
        </w:tc>
        <w:tc>
          <w:tcPr>
            <w:tcW w:w="2119" w:type="dxa"/>
          </w:tcPr>
          <w:p w14:paraId="309125F3" w14:textId="72501C13" w:rsidR="00A53DEA" w:rsidRDefault="00A53DEA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Cybersecurity for organisations / infrastructure</w:t>
            </w:r>
          </w:p>
        </w:tc>
        <w:tc>
          <w:tcPr>
            <w:tcW w:w="2255" w:type="dxa"/>
          </w:tcPr>
          <w:p w14:paraId="4B699978" w14:textId="2A241F9F" w:rsidR="00A53DEA" w:rsidRDefault="00A53DEA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AI Systems Compliance</w:t>
            </w:r>
          </w:p>
        </w:tc>
        <w:tc>
          <w:tcPr>
            <w:tcW w:w="1550" w:type="dxa"/>
          </w:tcPr>
          <w:p w14:paraId="2D31614B" w14:textId="16A4F5E2" w:rsidR="00A53DEA" w:rsidRDefault="00A53DEA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Financial Sector ICT</w:t>
            </w:r>
          </w:p>
        </w:tc>
        <w:tc>
          <w:tcPr>
            <w:tcW w:w="4336" w:type="dxa"/>
          </w:tcPr>
          <w:p w14:paraId="5A6E45C6" w14:textId="0DB64E3E" w:rsidR="00A53DEA" w:rsidRDefault="00A53DEA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Cybersecurity for Products</w:t>
            </w:r>
          </w:p>
        </w:tc>
      </w:tr>
      <w:tr w:rsidR="00A53DEA" w14:paraId="5D749228" w14:textId="77777777" w:rsidTr="008D36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32AEC54F" w14:textId="77777777" w:rsidR="00177735" w:rsidRDefault="00177735" w:rsidP="00C22F5E">
            <w:r>
              <w:t>Report to</w:t>
            </w:r>
          </w:p>
        </w:tc>
        <w:tc>
          <w:tcPr>
            <w:tcW w:w="1787" w:type="dxa"/>
          </w:tcPr>
          <w:p w14:paraId="75D442BC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5" w:history="1">
              <w:r w:rsidRPr="00E64F88">
                <w:rPr>
                  <w:rStyle w:val="Hyperlink"/>
                </w:rPr>
                <w:t>Data Protection Supervisory Authority in your country</w:t>
              </w:r>
            </w:hyperlink>
          </w:p>
        </w:tc>
        <w:tc>
          <w:tcPr>
            <w:tcW w:w="2119" w:type="dxa"/>
          </w:tcPr>
          <w:p w14:paraId="6B111ABC" w14:textId="0EF460ED" w:rsidR="00177735" w:rsidRDefault="008D3644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6" w:anchor="network_members" w:history="1">
              <w:r w:rsidR="00177735" w:rsidRPr="008D3644">
                <w:rPr>
                  <w:rStyle w:val="Hyperlink"/>
                </w:rPr>
                <w:t>National CSIRT or competent authority</w:t>
              </w:r>
            </w:hyperlink>
          </w:p>
        </w:tc>
        <w:tc>
          <w:tcPr>
            <w:tcW w:w="2255" w:type="dxa"/>
          </w:tcPr>
          <w:p w14:paraId="0A3B827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7" w:anchor="1720699867912-2" w:history="1">
              <w:r w:rsidRPr="00E64F88">
                <w:rPr>
                  <w:rStyle w:val="Hyperlink"/>
                </w:rPr>
                <w:t>National market surveillance authority (MSA) or AI office</w:t>
              </w:r>
            </w:hyperlink>
          </w:p>
        </w:tc>
        <w:tc>
          <w:tcPr>
            <w:tcW w:w="1550" w:type="dxa"/>
          </w:tcPr>
          <w:p w14:paraId="2809569E" w14:textId="52FC4501" w:rsidR="00177735" w:rsidRDefault="008D3644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hyperlink r:id="rId8" w:anchor=":~:text=The%20European%20Supervisory%20Authorities%20(EBA%2C%20EIOPA%2C%20and,the%20implementation%20of%20the%20DORA%20oversight%20framework." w:history="1">
              <w:r w:rsidR="00177735" w:rsidRPr="008D3644">
                <w:rPr>
                  <w:rStyle w:val="Hyperlink"/>
                </w:rPr>
                <w:t>Relevant competent authority</w:t>
              </w:r>
            </w:hyperlink>
          </w:p>
        </w:tc>
        <w:tc>
          <w:tcPr>
            <w:tcW w:w="4336" w:type="dxa"/>
          </w:tcPr>
          <w:p w14:paraId="094CAC24" w14:textId="1EC13AB9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Designated CSIRT and </w:t>
            </w:r>
            <w:hyperlink r:id="rId9" w:history="1">
              <w:r w:rsidRPr="008D3644">
                <w:rPr>
                  <w:rStyle w:val="Hyperlink"/>
                </w:rPr>
                <w:t>ENISA</w:t>
              </w:r>
            </w:hyperlink>
          </w:p>
        </w:tc>
      </w:tr>
      <w:tr w:rsidR="00A53DEA" w14:paraId="0FA8FB69" w14:textId="77777777" w:rsidTr="008D36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5C17E165" w14:textId="77777777" w:rsidR="00177735" w:rsidRDefault="00177735" w:rsidP="00C22F5E">
            <w:r>
              <w:t>Who?</w:t>
            </w:r>
          </w:p>
        </w:tc>
        <w:tc>
          <w:tcPr>
            <w:tcW w:w="1787" w:type="dxa"/>
          </w:tcPr>
          <w:p w14:paraId="1B2EC9DE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Data controllers.</w:t>
            </w:r>
          </w:p>
        </w:tc>
        <w:tc>
          <w:tcPr>
            <w:tcW w:w="2119" w:type="dxa"/>
          </w:tcPr>
          <w:p w14:paraId="6D030BE2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Operators of highly critical and critical services.</w:t>
            </w:r>
          </w:p>
        </w:tc>
        <w:tc>
          <w:tcPr>
            <w:tcW w:w="2255" w:type="dxa"/>
          </w:tcPr>
          <w:p w14:paraId="28EBCCD2" w14:textId="77777777" w:rsidR="00177735" w:rsidRDefault="00177735" w:rsidP="00C22F5E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Providers of high-risk AI systems</w:t>
            </w:r>
            <w:r>
              <w:br/>
              <w:t>Deployers of AI systems (users) if incident affecting health, safety, or fundamental rights.</w:t>
            </w:r>
            <w:r>
              <w:br/>
              <w:t>Providers of General Purpose AI (GPAI) models with systemic risks</w:t>
            </w:r>
          </w:p>
        </w:tc>
        <w:tc>
          <w:tcPr>
            <w:tcW w:w="1550" w:type="dxa"/>
          </w:tcPr>
          <w:p w14:paraId="791D6788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Financial entities.</w:t>
            </w:r>
          </w:p>
        </w:tc>
        <w:tc>
          <w:tcPr>
            <w:tcW w:w="4336" w:type="dxa"/>
          </w:tcPr>
          <w:p w14:paraId="7819C50A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Manufacturers, importers, and distributors of products with digital elements that are sold on the EU market.</w:t>
            </w:r>
          </w:p>
        </w:tc>
      </w:tr>
      <w:tr w:rsidR="00A53DEA" w14:paraId="644FD2A3" w14:textId="77777777" w:rsidTr="008D36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60C19879" w14:textId="77777777" w:rsidR="00177735" w:rsidRDefault="00177735" w:rsidP="00C22F5E">
            <w:r>
              <w:t>Timeline for Reporting</w:t>
            </w:r>
          </w:p>
        </w:tc>
        <w:tc>
          <w:tcPr>
            <w:tcW w:w="1787" w:type="dxa"/>
          </w:tcPr>
          <w:p w14:paraId="7E035609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72 hours from when controller first aware of incident – if not made within 72 hours to be </w:t>
            </w:r>
            <w:r>
              <w:lastRenderedPageBreak/>
              <w:t xml:space="preserve">accompanied with reasons for the </w:t>
            </w:r>
            <w:proofErr w:type="gramStart"/>
            <w:r>
              <w:t>delay.*</w:t>
            </w:r>
            <w:proofErr w:type="gramEnd"/>
          </w:p>
        </w:tc>
        <w:tc>
          <w:tcPr>
            <w:tcW w:w="2119" w:type="dxa"/>
          </w:tcPr>
          <w:p w14:paraId="61088FAD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 xml:space="preserve">Early warning within 24 hours. </w:t>
            </w:r>
          </w:p>
          <w:p w14:paraId="207CDC28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Incident notification within 72 hours.</w:t>
            </w:r>
          </w:p>
          <w:p w14:paraId="7116AB1E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Final report within one month.</w:t>
            </w:r>
          </w:p>
        </w:tc>
        <w:tc>
          <w:tcPr>
            <w:tcW w:w="2255" w:type="dxa"/>
          </w:tcPr>
          <w:p w14:paraId="0DAF8DC5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Immediately after an issue has been identified, no later than 15 days.</w:t>
            </w:r>
          </w:p>
          <w:p w14:paraId="22DE7963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An initial report may be issued if all the information is not ready.</w:t>
            </w:r>
          </w:p>
          <w:p w14:paraId="4BE394FE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Providers of GPAI models to report serious incidents to the AI Office without undue delay.</w:t>
            </w:r>
          </w:p>
        </w:tc>
        <w:tc>
          <w:tcPr>
            <w:tcW w:w="1550" w:type="dxa"/>
          </w:tcPr>
          <w:p w14:paraId="74D7BFC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24 hours – initial notification</w:t>
            </w:r>
          </w:p>
          <w:p w14:paraId="13E5C1B0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72 hours – intermediate report</w:t>
            </w:r>
          </w:p>
          <w:p w14:paraId="704448D6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>One month later – final report.</w:t>
            </w:r>
          </w:p>
          <w:p w14:paraId="06AB3A06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4336" w:type="dxa"/>
          </w:tcPr>
          <w:p w14:paraId="71DDAA74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lastRenderedPageBreak/>
              <w:t xml:space="preserve">Early warning notification within 24 hours. </w:t>
            </w:r>
          </w:p>
          <w:p w14:paraId="5FE11FC5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Vulnerability report within 72 hours.</w:t>
            </w:r>
          </w:p>
          <w:p w14:paraId="5A8CBD87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Final report one month later (14 days after mitigation for vulnerabilities).</w:t>
            </w:r>
          </w:p>
        </w:tc>
      </w:tr>
      <w:tr w:rsidR="00A53DEA" w14:paraId="0A7E858F" w14:textId="77777777" w:rsidTr="008D36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655094F3" w14:textId="77777777" w:rsidR="00177735" w:rsidRDefault="00177735" w:rsidP="00C22F5E">
            <w:r>
              <w:t>Threshold for Reporting</w:t>
            </w:r>
          </w:p>
        </w:tc>
        <w:tc>
          <w:tcPr>
            <w:tcW w:w="1787" w:type="dxa"/>
          </w:tcPr>
          <w:p w14:paraId="5F6F1108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Required to report </w:t>
            </w:r>
            <w:r w:rsidRPr="004A7DE7">
              <w:rPr>
                <w:b/>
                <w:bCs/>
              </w:rPr>
              <w:t>unless there is unlikely to be a high risk to rights and freedoms of individuals</w:t>
            </w:r>
            <w:r>
              <w:rPr>
                <w:b/>
                <w:bCs/>
              </w:rPr>
              <w:t>.</w:t>
            </w:r>
          </w:p>
        </w:tc>
        <w:tc>
          <w:tcPr>
            <w:tcW w:w="2119" w:type="dxa"/>
          </w:tcPr>
          <w:p w14:paraId="42ED492E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If the incident is significant (severe operational disruption or financial loss)</w:t>
            </w:r>
          </w:p>
          <w:p w14:paraId="241D4B6B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If it has caused material or non-material damage to a natural or legal person.</w:t>
            </w:r>
          </w:p>
        </w:tc>
        <w:tc>
          <w:tcPr>
            <w:tcW w:w="2255" w:type="dxa"/>
          </w:tcPr>
          <w:p w14:paraId="12E31C51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If it is a </w:t>
            </w:r>
            <w:r w:rsidRPr="004A7DE7">
              <w:rPr>
                <w:b/>
                <w:bCs/>
              </w:rPr>
              <w:t>serious incident</w:t>
            </w:r>
            <w:r>
              <w:t xml:space="preserve"> – death or serious harm to health, disruption to critical </w:t>
            </w:r>
            <w:proofErr w:type="gramStart"/>
            <w:r>
              <w:t>infrastructure,  infringement</w:t>
            </w:r>
            <w:proofErr w:type="gramEnd"/>
            <w:r>
              <w:t xml:space="preserve"> of rights, serious harm to property or the environment.</w:t>
            </w:r>
          </w:p>
        </w:tc>
        <w:tc>
          <w:tcPr>
            <w:tcW w:w="1550" w:type="dxa"/>
          </w:tcPr>
          <w:p w14:paraId="2DC21E1A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A7DE7">
              <w:rPr>
                <w:b/>
                <w:bCs/>
              </w:rPr>
              <w:t xml:space="preserve">Major </w:t>
            </w:r>
            <w:proofErr w:type="gramStart"/>
            <w:r w:rsidRPr="004A7DE7">
              <w:rPr>
                <w:b/>
                <w:bCs/>
              </w:rPr>
              <w:t>incidents</w:t>
            </w:r>
            <w:r>
              <w:t xml:space="preserve">  -</w:t>
            </w:r>
            <w:proofErr w:type="gramEnd"/>
            <w:r>
              <w:t xml:space="preserve"> high adverse impact on the network and information systems.</w:t>
            </w:r>
          </w:p>
        </w:tc>
        <w:tc>
          <w:tcPr>
            <w:tcW w:w="4336" w:type="dxa"/>
          </w:tcPr>
          <w:p w14:paraId="0B099AA6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An actively exploited vulnerability; any </w:t>
            </w:r>
            <w:r w:rsidRPr="004A7DE7">
              <w:rPr>
                <w:b/>
                <w:bCs/>
              </w:rPr>
              <w:t>severe incident</w:t>
            </w:r>
            <w:r>
              <w:t xml:space="preserve"> (the ability of a digital product to protect the availability, authenticity, integrity or confidentiality of sensitive or important data or functions).</w:t>
            </w:r>
          </w:p>
        </w:tc>
      </w:tr>
      <w:tr w:rsidR="00A53DEA" w14:paraId="22F160BE" w14:textId="77777777" w:rsidTr="008D36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32D67BB8" w14:textId="77777777" w:rsidR="00177735" w:rsidRDefault="00177735" w:rsidP="00C22F5E">
            <w:r>
              <w:t>What to Report</w:t>
            </w:r>
          </w:p>
        </w:tc>
        <w:tc>
          <w:tcPr>
            <w:tcW w:w="1787" w:type="dxa"/>
          </w:tcPr>
          <w:p w14:paraId="6955013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Nature of the breach (including numbers)</w:t>
            </w:r>
            <w:r>
              <w:br/>
              <w:t>Likely Consequences</w:t>
            </w:r>
            <w:r>
              <w:br/>
              <w:t>Measures taken to mitigate.</w:t>
            </w:r>
          </w:p>
        </w:tc>
        <w:tc>
          <w:tcPr>
            <w:tcW w:w="2119" w:type="dxa"/>
          </w:tcPr>
          <w:p w14:paraId="7D1D27E5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72 hours – assessment, impact, IoC</w:t>
            </w:r>
            <w:r>
              <w:br/>
              <w:t>Full report – detailed overview, root causes, cross border impact, mitigation factors.</w:t>
            </w:r>
          </w:p>
        </w:tc>
        <w:tc>
          <w:tcPr>
            <w:tcW w:w="2255" w:type="dxa"/>
          </w:tcPr>
          <w:p w14:paraId="629078DF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Impact assessment – variations apply depending on the issue in hand.  Still be consulted on.</w:t>
            </w:r>
          </w:p>
        </w:tc>
        <w:tc>
          <w:tcPr>
            <w:tcW w:w="1550" w:type="dxa"/>
          </w:tcPr>
          <w:p w14:paraId="5B79E671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First notification – basic information</w:t>
            </w:r>
          </w:p>
          <w:p w14:paraId="6E8A5850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Intermediate report – status and handling</w:t>
            </w:r>
          </w:p>
          <w:p w14:paraId="4C6AD80B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Full report – root cause and mitigation factors.</w:t>
            </w:r>
          </w:p>
        </w:tc>
        <w:tc>
          <w:tcPr>
            <w:tcW w:w="4336" w:type="dxa"/>
          </w:tcPr>
          <w:p w14:paraId="39EEF5E3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72 hours – general information, corrective actions, information for users</w:t>
            </w:r>
          </w:p>
          <w:p w14:paraId="1F5BE1C7" w14:textId="77777777" w:rsidR="00177735" w:rsidRDefault="00177735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14 day – detailed on how vulnerability exploited.</w:t>
            </w:r>
          </w:p>
        </w:tc>
      </w:tr>
      <w:tr w:rsidR="00A53DEA" w14:paraId="519A0DB2" w14:textId="77777777" w:rsidTr="008D36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21191D83" w14:textId="77777777" w:rsidR="00177735" w:rsidRDefault="00177735" w:rsidP="00C22F5E">
            <w:r>
              <w:lastRenderedPageBreak/>
              <w:t>Communication with Affected Users</w:t>
            </w:r>
          </w:p>
        </w:tc>
        <w:tc>
          <w:tcPr>
            <w:tcW w:w="1787" w:type="dxa"/>
          </w:tcPr>
          <w:p w14:paraId="5B8DDED0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Notify data subjects of breach without undue delay but ONLY where there is a high risk to the rights and freedoms of natural persons.</w:t>
            </w:r>
          </w:p>
        </w:tc>
        <w:tc>
          <w:tcPr>
            <w:tcW w:w="2119" w:type="dxa"/>
          </w:tcPr>
          <w:p w14:paraId="6CA9C28D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Notify service users where a significant incident has occurred, and any measures or remedies.</w:t>
            </w:r>
          </w:p>
        </w:tc>
        <w:tc>
          <w:tcPr>
            <w:tcW w:w="2255" w:type="dxa"/>
          </w:tcPr>
          <w:p w14:paraId="47999821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Still be consulted on.</w:t>
            </w:r>
          </w:p>
        </w:tc>
        <w:tc>
          <w:tcPr>
            <w:tcW w:w="1550" w:type="dxa"/>
          </w:tcPr>
          <w:p w14:paraId="6A6DFC08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Style w:val="t286pc"/>
              </w:rPr>
              <w:t>Must notify their clients and end-users about significant incidents.</w:t>
            </w:r>
          </w:p>
        </w:tc>
        <w:tc>
          <w:tcPr>
            <w:tcW w:w="4336" w:type="dxa"/>
          </w:tcPr>
          <w:p w14:paraId="186ABB24" w14:textId="77777777" w:rsidR="00177735" w:rsidRDefault="00177735" w:rsidP="00C22F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Must report vulnerabilities to people or entities using the product.</w:t>
            </w:r>
          </w:p>
        </w:tc>
      </w:tr>
      <w:tr w:rsidR="00A53DEA" w14:paraId="0EA419B3" w14:textId="77777777" w:rsidTr="008D36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31FCE724" w14:textId="23CAA58B" w:rsidR="00A53DEA" w:rsidRDefault="00A53DEA" w:rsidP="00C22F5E">
            <w:r>
              <w:t>Potential Penalties</w:t>
            </w:r>
          </w:p>
        </w:tc>
        <w:tc>
          <w:tcPr>
            <w:tcW w:w="1787" w:type="dxa"/>
          </w:tcPr>
          <w:p w14:paraId="4E3C0E7E" w14:textId="7A69D2C2" w:rsidR="00A53DEA" w:rsidRDefault="00A53DEA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 lower tier of up to €20 million or 2% of annual global turnover, and a higher tier of up to €20 million or 4% of annual global turnover, whichever is greater</w:t>
            </w:r>
          </w:p>
        </w:tc>
        <w:tc>
          <w:tcPr>
            <w:tcW w:w="2119" w:type="dxa"/>
          </w:tcPr>
          <w:p w14:paraId="7104DD60" w14:textId="33B4E181" w:rsidR="00A53DEA" w:rsidRDefault="00A53DEA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Essential Entities: </w:t>
            </w:r>
            <w:r w:rsidRPr="00A53DEA">
              <w:t>€10</w:t>
            </w:r>
            <w:r>
              <w:t xml:space="preserve"> million</w:t>
            </w:r>
            <w:r w:rsidRPr="00A53DEA">
              <w:t xml:space="preserve"> or 2% of the global annual revenue, whichever is </w:t>
            </w:r>
            <w:r>
              <w:t>greater</w:t>
            </w:r>
            <w:r w:rsidRPr="00A53DEA">
              <w:t>.</w:t>
            </w:r>
          </w:p>
        </w:tc>
        <w:tc>
          <w:tcPr>
            <w:tcW w:w="2255" w:type="dxa"/>
          </w:tcPr>
          <w:p w14:paraId="62AD9167" w14:textId="4B9CDDC6" w:rsidR="00A53DEA" w:rsidRDefault="00561019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Range of different fines: </w:t>
            </w:r>
            <w:r w:rsidRPr="00A53DEA">
              <w:t>€</w:t>
            </w:r>
            <w:r>
              <w:t xml:space="preserve">7.5 </w:t>
            </w:r>
            <w:r>
              <w:t>million</w:t>
            </w:r>
            <w:r>
              <w:t xml:space="preserve"> - </w:t>
            </w:r>
            <w:r w:rsidRPr="00A53DEA">
              <w:t>€</w:t>
            </w:r>
            <w:r>
              <w:t xml:space="preserve">35 </w:t>
            </w:r>
            <w:r>
              <w:t>million</w:t>
            </w:r>
            <w:r>
              <w:t xml:space="preserve"> or </w:t>
            </w:r>
            <w:r>
              <w:t>1%</w:t>
            </w:r>
            <w:r>
              <w:t xml:space="preserve"> - 7%</w:t>
            </w:r>
            <w:r>
              <w:t xml:space="preserve"> of global annual turnover,</w:t>
            </w:r>
            <w:r>
              <w:t xml:space="preserve"> whichever is greater.</w:t>
            </w:r>
          </w:p>
        </w:tc>
        <w:tc>
          <w:tcPr>
            <w:tcW w:w="1550" w:type="dxa"/>
          </w:tcPr>
          <w:p w14:paraId="37AFFB0E" w14:textId="301825B5" w:rsidR="00A53DEA" w:rsidRDefault="00561019" w:rsidP="00C22F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t286pc"/>
              </w:rPr>
            </w:pPr>
            <w:r>
              <w:rPr>
                <w:rStyle w:val="t286pc"/>
              </w:rPr>
              <w:t>Range of different penalties including financial penalties aimed at individuals (management)</w:t>
            </w:r>
          </w:p>
        </w:tc>
        <w:tc>
          <w:tcPr>
            <w:tcW w:w="4336" w:type="dxa"/>
          </w:tcPr>
          <w:p w14:paraId="753F0B5E" w14:textId="59F28613" w:rsidR="00A53DEA" w:rsidRDefault="00561019" w:rsidP="005610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U</w:t>
            </w:r>
            <w:r>
              <w:t>p to €15 million or 2.5% of worldwide annual turnover</w:t>
            </w:r>
            <w:r w:rsidR="008D3644">
              <w:t xml:space="preserve"> for violations. </w:t>
            </w:r>
            <w:r>
              <w:t>€5 million or 1% of global turnover for providing inaccurate information to authorities</w:t>
            </w:r>
            <w:r w:rsidR="008D3644">
              <w:t>.</w:t>
            </w:r>
          </w:p>
        </w:tc>
      </w:tr>
    </w:tbl>
    <w:p w14:paraId="5B944516" w14:textId="77777777" w:rsidR="00970526" w:rsidRDefault="00970526"/>
    <w:sectPr w:rsidR="00970526" w:rsidSect="00A53D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865232"/>
    <w:multiLevelType w:val="multilevel"/>
    <w:tmpl w:val="9C5AA31E"/>
    <w:name w:val="NumHeadings22"/>
    <w:lvl w:ilvl="0">
      <w:start w:val="1"/>
      <w:numFmt w:val="decimal"/>
      <w:pStyle w:val="Heading1"/>
      <w:lvlText w:val="%1"/>
      <w:lvlJc w:val="left"/>
      <w:pPr>
        <w:tabs>
          <w:tab w:val="num" w:pos="851"/>
        </w:tabs>
        <w:ind w:left="0" w:firstLine="0"/>
      </w:pPr>
      <w:rPr>
        <w:rFonts w:asciiTheme="minorHAnsi" w:hAnsiTheme="minorHAnsi" w:cstheme="minorHAnsi" w:hint="default"/>
        <w:b/>
        <w:i w:val="0"/>
        <w:vanish w:val="0"/>
        <w:color w:val="5F8EA8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0" w:firstLine="0"/>
      </w:pPr>
      <w:rPr>
        <w:rFonts w:ascii="Calibri" w:hAnsi="Calibri" w:cs="Calibri" w:hint="default"/>
        <w:b/>
        <w:i w:val="0"/>
        <w:color w:val="5F8EA8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0" w:firstLine="0"/>
      </w:pPr>
      <w:rPr>
        <w:rFonts w:asciiTheme="minorHAnsi" w:hAnsiTheme="minorHAnsi" w:cstheme="minorHAnsi" w:hint="default"/>
        <w:b/>
        <w:i w:val="0"/>
        <w:color w:val="5F8EA8"/>
        <w:sz w:val="28"/>
        <w:szCs w:val="28"/>
      </w:rPr>
    </w:lvl>
    <w:lvl w:ilvl="3">
      <w:start w:val="1"/>
      <w:numFmt w:val="decimal"/>
      <w:lvlText w:val="%1.%2.%3.%4"/>
      <w:lvlJc w:val="left"/>
      <w:rPr>
        <w:rFonts w:asciiTheme="minorHAnsi" w:hAnsiTheme="minorHAnsi" w:cstheme="minorHAnsi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5F8EA8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upperLetter"/>
      <w:lvlText w:val="Appendix %6"/>
      <w:lvlJc w:val="left"/>
      <w:pPr>
        <w:tabs>
          <w:tab w:val="num" w:pos="1418"/>
        </w:tabs>
        <w:ind w:left="0" w:firstLine="0"/>
      </w:pPr>
      <w:rPr>
        <w:rFonts w:ascii="Arial" w:hAnsi="Arial" w:hint="default"/>
        <w:b/>
        <w:i w:val="0"/>
        <w:vanish w:val="0"/>
        <w:color w:val="5F8EA8"/>
        <w:sz w:val="24"/>
        <w:szCs w:val="24"/>
      </w:rPr>
    </w:lvl>
    <w:lvl w:ilvl="6">
      <w:start w:val="1"/>
      <w:numFmt w:val="decimal"/>
      <w:lvlRestart w:val="5"/>
      <w:lvlText w:val="%6.%7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7">
      <w:start w:val="1"/>
      <w:numFmt w:val="decimal"/>
      <w:lvlText w:val="%6.%7.%8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  <w:lvl w:ilvl="8">
      <w:start w:val="1"/>
      <w:numFmt w:val="decimal"/>
      <w:lvlText w:val="%6.%7.%8.%9"/>
      <w:lvlJc w:val="left"/>
      <w:pPr>
        <w:tabs>
          <w:tab w:val="num" w:pos="851"/>
        </w:tabs>
        <w:ind w:left="0" w:firstLine="0"/>
      </w:pPr>
      <w:rPr>
        <w:rFonts w:ascii="Arial" w:hAnsi="Arial" w:hint="default"/>
        <w:b/>
        <w:i w:val="0"/>
        <w:color w:val="5F8EA8"/>
        <w:sz w:val="24"/>
        <w:szCs w:val="24"/>
      </w:rPr>
    </w:lvl>
  </w:abstractNum>
  <w:num w:numId="1" w16cid:durableId="1469787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735"/>
    <w:rsid w:val="00177735"/>
    <w:rsid w:val="00215454"/>
    <w:rsid w:val="00555CDD"/>
    <w:rsid w:val="00561019"/>
    <w:rsid w:val="00842E3B"/>
    <w:rsid w:val="00874E8B"/>
    <w:rsid w:val="008D3644"/>
    <w:rsid w:val="00970526"/>
    <w:rsid w:val="00A53DEA"/>
    <w:rsid w:val="00C1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0E72E"/>
  <w15:chartTrackingRefBased/>
  <w15:docId w15:val="{2216536E-9A2C-524D-BF09-C446F41C3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735"/>
  </w:style>
  <w:style w:type="paragraph" w:styleId="Heading1">
    <w:name w:val="heading 1"/>
    <w:next w:val="BodyText"/>
    <w:link w:val="Heading1Char"/>
    <w:autoRedefine/>
    <w:qFormat/>
    <w:rsid w:val="00555CDD"/>
    <w:pPr>
      <w:keepNext/>
      <w:numPr>
        <w:numId w:val="1"/>
      </w:numPr>
      <w:spacing w:before="2640" w:beforeAutospacing="1" w:after="480" w:afterAutospacing="1" w:line="480" w:lineRule="atLeast"/>
      <w:outlineLvl w:val="0"/>
    </w:pPr>
    <w:rPr>
      <w:rFonts w:eastAsia="Batang" w:cstheme="minorHAnsi"/>
      <w:b/>
      <w:bCs/>
      <w:snapToGrid w:val="0"/>
      <w:color w:val="004461"/>
      <w:sz w:val="22"/>
      <w:szCs w:val="22"/>
      <w:lang w:eastAsia="ko-KR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77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77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77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77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773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773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773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773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55CDD"/>
    <w:rPr>
      <w:rFonts w:eastAsia="Batang" w:cstheme="minorHAnsi"/>
      <w:b/>
      <w:bCs/>
      <w:snapToGrid w:val="0"/>
      <w:color w:val="004461"/>
      <w:sz w:val="22"/>
      <w:szCs w:val="22"/>
      <w:lang w:eastAsia="ko-KR"/>
    </w:rPr>
  </w:style>
  <w:style w:type="paragraph" w:styleId="BodyText">
    <w:name w:val="Body Text"/>
    <w:basedOn w:val="Normal"/>
    <w:link w:val="BodyTextChar"/>
    <w:uiPriority w:val="99"/>
    <w:semiHidden/>
    <w:unhideWhenUsed/>
    <w:rsid w:val="00555CD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55CDD"/>
  </w:style>
  <w:style w:type="character" w:customStyle="1" w:styleId="Heading2Char">
    <w:name w:val="Heading 2 Char"/>
    <w:basedOn w:val="DefaultParagraphFont"/>
    <w:link w:val="Heading2"/>
    <w:uiPriority w:val="9"/>
    <w:semiHidden/>
    <w:rsid w:val="001777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77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77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77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77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77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77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77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77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77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773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77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773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77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77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77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77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77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773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777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77735"/>
    <w:rPr>
      <w:color w:val="467886" w:themeColor="hyperlink"/>
      <w:u w:val="single"/>
    </w:rPr>
  </w:style>
  <w:style w:type="character" w:customStyle="1" w:styleId="t286pc">
    <w:name w:val="t286pc"/>
    <w:basedOn w:val="DefaultParagraphFont"/>
    <w:rsid w:val="00177735"/>
  </w:style>
  <w:style w:type="table" w:styleId="GridTable2-Accent1">
    <w:name w:val="Grid Table 2 Accent 1"/>
    <w:basedOn w:val="TableNormal"/>
    <w:uiPriority w:val="47"/>
    <w:rsid w:val="008D3644"/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8D36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sma.europa.eu/press-news/esma-news/european-supervisory-authorities-designate-critical-ict-third-party-provider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gital-strategy.ec.europa.eu/en/policies/market-surveillance-authorities-under-ai-ac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sirtsnetwork.eu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dpb.europa.eu/about-edpb/about-edpb/members_en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nisa.europa.eu/topics/vulnerability-disclos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686</Words>
  <Characters>3908</Characters>
  <Application>Microsoft Office Word</Application>
  <DocSecurity>0</DocSecurity>
  <Lines>558</Lines>
  <Paragraphs>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Harris</dc:creator>
  <cp:keywords/>
  <dc:description/>
  <cp:lastModifiedBy>Nicole Harris</cp:lastModifiedBy>
  <cp:revision>2</cp:revision>
  <dcterms:created xsi:type="dcterms:W3CDTF">2025-11-20T14:35:00Z</dcterms:created>
  <dcterms:modified xsi:type="dcterms:W3CDTF">2025-11-20T17:17:00Z</dcterms:modified>
</cp:coreProperties>
</file>