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B0A591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b/>
          <w:bCs/>
          <w:color w:val="212121"/>
          <w:kern w:val="0"/>
          <w:sz w:val="22"/>
          <w:szCs w:val="22"/>
          <w:lang w:eastAsia="en-GB"/>
          <w14:ligatures w14:val="none"/>
        </w:rPr>
        <w:t>Meeting Notes – 13 January</w:t>
      </w:r>
    </w:p>
    <w:p w14:paraId="06CC5976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b/>
          <w:bCs/>
          <w:color w:val="212121"/>
          <w:kern w:val="0"/>
          <w:sz w:val="22"/>
          <w:szCs w:val="22"/>
          <w:lang w:val="en-US" w:eastAsia="en-GB"/>
          <w14:ligatures w14:val="none"/>
        </w:rPr>
        <w:t> </w:t>
      </w:r>
    </w:p>
    <w:p w14:paraId="6890B6AB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b/>
          <w:bCs/>
          <w:color w:val="212121"/>
          <w:kern w:val="0"/>
          <w:sz w:val="22"/>
          <w:szCs w:val="22"/>
          <w:lang w:eastAsia="en-GB"/>
          <w14:ligatures w14:val="none"/>
        </w:rPr>
        <w:t>1. Atlassian</w:t>
      </w:r>
    </w:p>
    <w:p w14:paraId="12BC9DCF" w14:textId="70CFB24D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>
        <w:rPr>
          <w:rFonts w:ascii="Aptos" w:eastAsia="Times New Roman" w:hAnsi="Aptos" w:cs="Times New Roman"/>
          <w:b/>
          <w:bCs/>
          <w:color w:val="212121"/>
          <w:kern w:val="0"/>
          <w:sz w:val="22"/>
          <w:szCs w:val="22"/>
          <w:lang w:eastAsia="en-GB"/>
          <w14:ligatures w14:val="none"/>
        </w:rPr>
        <w:t>Presentation and s</w:t>
      </w:r>
      <w:r w:rsidRPr="00EC4F6C">
        <w:rPr>
          <w:rFonts w:ascii="Aptos" w:eastAsia="Times New Roman" w:hAnsi="Aptos" w:cs="Times New Roman"/>
          <w:b/>
          <w:bCs/>
          <w:color w:val="212121"/>
          <w:kern w:val="0"/>
          <w:sz w:val="22"/>
          <w:szCs w:val="22"/>
          <w:lang w:eastAsia="en-GB"/>
          <w14:ligatures w14:val="none"/>
        </w:rPr>
        <w:t>peaker:</w:t>
      </w: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 Nicole Harris (GÉANT)</w:t>
      </w:r>
    </w:p>
    <w:p w14:paraId="68FEBFF3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val="en-US" w:eastAsia="en-GB"/>
          <w14:ligatures w14:val="none"/>
        </w:rPr>
        <w:t> </w:t>
      </w:r>
    </w:p>
    <w:p w14:paraId="1016BE7F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i/>
          <w:iCs/>
          <w:color w:val="212121"/>
          <w:kern w:val="0"/>
          <w:sz w:val="22"/>
          <w:szCs w:val="22"/>
          <w:lang w:eastAsia="en-GB"/>
          <w14:ligatures w14:val="none"/>
        </w:rPr>
        <w:t>Background / Issue</w:t>
      </w:r>
    </w:p>
    <w:p w14:paraId="5396D338" w14:textId="77777777" w:rsidR="00EC4F6C" w:rsidRPr="00EC4F6C" w:rsidRDefault="00EC4F6C" w:rsidP="00EC4F6C">
      <w:pPr>
        <w:numPr>
          <w:ilvl w:val="0"/>
          <w:numId w:val="1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In 2020, Atlassian’s “Journey to the Cloud” introduced significant changes to its licensing model, including new restrictions.</w:t>
      </w:r>
    </w:p>
    <w:p w14:paraId="5C31F750" w14:textId="77777777" w:rsidR="00EC4F6C" w:rsidRPr="00EC4F6C" w:rsidRDefault="00EC4F6C" w:rsidP="00EC4F6C">
      <w:pPr>
        <w:numPr>
          <w:ilvl w:val="0"/>
          <w:numId w:val="1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In 2025, Atlassian announced plans to remove all on-premises data centre licensing by 2029.</w:t>
      </w:r>
    </w:p>
    <w:p w14:paraId="03E9AE74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i/>
          <w:iCs/>
          <w:color w:val="212121"/>
          <w:kern w:val="0"/>
          <w:sz w:val="22"/>
          <w:szCs w:val="22"/>
          <w:lang w:eastAsia="en-GB"/>
          <w14:ligatures w14:val="none"/>
        </w:rPr>
        <w:t>Impact on GÉANT</w:t>
      </w:r>
    </w:p>
    <w:p w14:paraId="36D64B51" w14:textId="77777777" w:rsidR="00EC4F6C" w:rsidRPr="00EC4F6C" w:rsidRDefault="00EC4F6C" w:rsidP="00EC4F6C">
      <w:pPr>
        <w:numPr>
          <w:ilvl w:val="0"/>
          <w:numId w:val="2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GÉANT has built extensive, non-off-the-shelf services around Atlassian tools, with significant investment of time and resources.</w:t>
      </w:r>
    </w:p>
    <w:p w14:paraId="56143E96" w14:textId="77777777" w:rsidR="00EC4F6C" w:rsidRPr="00EC4F6C" w:rsidRDefault="00EC4F6C" w:rsidP="00EC4F6C">
      <w:pPr>
        <w:numPr>
          <w:ilvl w:val="0"/>
          <w:numId w:val="2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These services are at risk, as on-premises deployment is essential for sensitive use cases.</w:t>
      </w:r>
    </w:p>
    <w:p w14:paraId="61B1EA5D" w14:textId="77777777" w:rsidR="00EC4F6C" w:rsidRPr="00EC4F6C" w:rsidRDefault="00EC4F6C" w:rsidP="00EC4F6C">
      <w:pPr>
        <w:numPr>
          <w:ilvl w:val="0"/>
          <w:numId w:val="2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Atlassian is used within a federated model, with adoption by multiple NRENs.</w:t>
      </w:r>
    </w:p>
    <w:p w14:paraId="0178E4E1" w14:textId="77777777" w:rsidR="00EC4F6C" w:rsidRPr="00EC4F6C" w:rsidRDefault="00EC4F6C" w:rsidP="00EC4F6C">
      <w:pPr>
        <w:numPr>
          <w:ilvl w:val="0"/>
          <w:numId w:val="2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There is a large and active support community.</w:t>
      </w:r>
    </w:p>
    <w:p w14:paraId="15F13F38" w14:textId="77777777" w:rsidR="00EC4F6C" w:rsidRPr="00EC4F6C" w:rsidRDefault="00EC4F6C" w:rsidP="00EC4F6C">
      <w:pPr>
        <w:numPr>
          <w:ilvl w:val="0"/>
          <w:numId w:val="2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Migration away from Atlassian would require moving large volumes of data, making it complex and time-consuming.</w:t>
      </w:r>
    </w:p>
    <w:p w14:paraId="6312F2A7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i/>
          <w:iCs/>
          <w:color w:val="212121"/>
          <w:kern w:val="0"/>
          <w:sz w:val="22"/>
          <w:szCs w:val="22"/>
          <w:lang w:eastAsia="en-GB"/>
          <w14:ligatures w14:val="none"/>
        </w:rPr>
        <w:t>Potential Alternatives</w:t>
      </w:r>
    </w:p>
    <w:p w14:paraId="68F3D58F" w14:textId="77777777" w:rsidR="00EC4F6C" w:rsidRPr="00EC4F6C" w:rsidRDefault="00EC4F6C" w:rsidP="00EC4F6C">
      <w:pPr>
        <w:numPr>
          <w:ilvl w:val="0"/>
          <w:numId w:val="3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Open-source solutions such as:</w:t>
      </w:r>
    </w:p>
    <w:p w14:paraId="6D54ABDC" w14:textId="77777777" w:rsidR="00EC4F6C" w:rsidRPr="00EC4F6C" w:rsidRDefault="00EC4F6C" w:rsidP="00EC4F6C">
      <w:pPr>
        <w:numPr>
          <w:ilvl w:val="1"/>
          <w:numId w:val="3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OpenProject</w:t>
      </w:r>
    </w:p>
    <w:p w14:paraId="6451F9C0" w14:textId="77777777" w:rsidR="00EC4F6C" w:rsidRPr="00EC4F6C" w:rsidRDefault="00EC4F6C" w:rsidP="00EC4F6C">
      <w:pPr>
        <w:numPr>
          <w:ilvl w:val="1"/>
          <w:numId w:val="3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XWiki</w:t>
      </w:r>
    </w:p>
    <w:p w14:paraId="37E72B11" w14:textId="77777777" w:rsidR="00EC4F6C" w:rsidRPr="00EC4F6C" w:rsidRDefault="00EC4F6C" w:rsidP="00EC4F6C">
      <w:pPr>
        <w:numPr>
          <w:ilvl w:val="1"/>
          <w:numId w:val="3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YouTrack (YT)</w:t>
      </w:r>
    </w:p>
    <w:p w14:paraId="3A6C0FBB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i/>
          <w:iCs/>
          <w:color w:val="212121"/>
          <w:kern w:val="0"/>
          <w:sz w:val="22"/>
          <w:szCs w:val="22"/>
          <w:lang w:eastAsia="en-GB"/>
          <w14:ligatures w14:val="none"/>
        </w:rPr>
        <w:t>Possible Next Steps</w:t>
      </w:r>
    </w:p>
    <w:p w14:paraId="5EA449A1" w14:textId="77777777" w:rsidR="00EC4F6C" w:rsidRPr="00EC4F6C" w:rsidRDefault="00EC4F6C" w:rsidP="00EC4F6C">
      <w:pPr>
        <w:numPr>
          <w:ilvl w:val="0"/>
          <w:numId w:val="4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Add Atlassian to the OCRE framework</w:t>
      </w:r>
    </w:p>
    <w:p w14:paraId="5FA99761" w14:textId="77777777" w:rsidR="00EC4F6C" w:rsidRPr="00EC4F6C" w:rsidRDefault="00EC4F6C" w:rsidP="00EC4F6C">
      <w:pPr>
        <w:numPr>
          <w:ilvl w:val="1"/>
          <w:numId w:val="4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This would only be viable if Atlassian is willing to support a cloud-based model.</w:t>
      </w:r>
    </w:p>
    <w:p w14:paraId="082141AD" w14:textId="77777777" w:rsidR="00EC4F6C" w:rsidRPr="00EC4F6C" w:rsidRDefault="00EC4F6C" w:rsidP="00EC4F6C">
      <w:pPr>
        <w:numPr>
          <w:ilvl w:val="1"/>
          <w:numId w:val="4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Otherwise, a separate tender may be required, especially given rising licence costs.</w:t>
      </w:r>
    </w:p>
    <w:p w14:paraId="7EE150BA" w14:textId="77777777" w:rsidR="00EC4F6C" w:rsidRPr="00EC4F6C" w:rsidRDefault="00EC4F6C" w:rsidP="00EC4F6C">
      <w:pPr>
        <w:numPr>
          <w:ilvl w:val="0"/>
          <w:numId w:val="4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Engage directly with Atlassian</w:t>
      </w:r>
    </w:p>
    <w:p w14:paraId="24E2E955" w14:textId="77777777" w:rsidR="00EC4F6C" w:rsidRPr="00EC4F6C" w:rsidRDefault="00EC4F6C" w:rsidP="00EC4F6C">
      <w:pPr>
        <w:numPr>
          <w:ilvl w:val="1"/>
          <w:numId w:val="4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However, GÉANT represents a very small share of Atlassian’s total revenue, so influence may be limited.</w:t>
      </w:r>
    </w:p>
    <w:p w14:paraId="301E1BCD" w14:textId="77777777" w:rsidR="00EC4F6C" w:rsidRPr="00EC4F6C" w:rsidRDefault="00EC4F6C" w:rsidP="00EC4F6C">
      <w:pPr>
        <w:numPr>
          <w:ilvl w:val="0"/>
          <w:numId w:val="4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Engage with alternative providers</w:t>
      </w:r>
    </w:p>
    <w:p w14:paraId="0E1D4A9D" w14:textId="77777777" w:rsidR="00EC4F6C" w:rsidRPr="00EC4F6C" w:rsidRDefault="00EC4F6C" w:rsidP="00EC4F6C">
      <w:pPr>
        <w:numPr>
          <w:ilvl w:val="1"/>
          <w:numId w:val="4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This could help address some of the functional and strategic challenges.</w:t>
      </w:r>
    </w:p>
    <w:p w14:paraId="14C412EC" w14:textId="77777777" w:rsidR="00EC4F6C" w:rsidRPr="00EC4F6C" w:rsidRDefault="00EC4F6C" w:rsidP="00EC4F6C">
      <w:pPr>
        <w:numPr>
          <w:ilvl w:val="0"/>
          <w:numId w:val="4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Initiate a GN5 project initiative</w:t>
      </w:r>
    </w:p>
    <w:p w14:paraId="4116AFD1" w14:textId="77777777" w:rsidR="00EC4F6C" w:rsidRPr="00EC4F6C" w:rsidRDefault="00EC4F6C" w:rsidP="00EC4F6C">
      <w:pPr>
        <w:numPr>
          <w:ilvl w:val="1"/>
          <w:numId w:val="4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Aim: support the development of an effective tool or ecosystem for open-source alternatives.</w:t>
      </w:r>
    </w:p>
    <w:p w14:paraId="1E63B4BA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i/>
          <w:iCs/>
          <w:color w:val="212121"/>
          <w:kern w:val="0"/>
          <w:sz w:val="22"/>
          <w:szCs w:val="22"/>
          <w:lang w:eastAsia="en-GB"/>
          <w14:ligatures w14:val="none"/>
        </w:rPr>
        <w:t>Broader Context / Strategic Considerations</w:t>
      </w:r>
    </w:p>
    <w:p w14:paraId="72190834" w14:textId="77777777" w:rsidR="00EC4F6C" w:rsidRPr="00EC4F6C" w:rsidRDefault="00EC4F6C" w:rsidP="00EC4F6C">
      <w:pPr>
        <w:numPr>
          <w:ilvl w:val="0"/>
          <w:numId w:val="5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New European Open Digital Ecosystem Strategy</w:t>
      </w:r>
    </w:p>
    <w:p w14:paraId="455C9B6A" w14:textId="77777777" w:rsidR="00EC4F6C" w:rsidRPr="00EC4F6C" w:rsidRDefault="00EC4F6C" w:rsidP="00EC4F6C">
      <w:pPr>
        <w:numPr>
          <w:ilvl w:val="0"/>
          <w:numId w:val="5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Digital Commons EDIC</w:t>
      </w:r>
    </w:p>
    <w:p w14:paraId="0CC31A56" w14:textId="77777777" w:rsidR="00EC4F6C" w:rsidRPr="00EC4F6C" w:rsidRDefault="00EC4F6C" w:rsidP="00EC4F6C">
      <w:pPr>
        <w:numPr>
          <w:ilvl w:val="0"/>
          <w:numId w:val="5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Open Source Week initiatives</w:t>
      </w:r>
    </w:p>
    <w:p w14:paraId="33D60D24" w14:textId="77777777" w:rsidR="00EC4F6C" w:rsidRPr="00EC4F6C" w:rsidRDefault="00EC4F6C" w:rsidP="00EC4F6C">
      <w:pPr>
        <w:numPr>
          <w:ilvl w:val="0"/>
          <w:numId w:val="5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The idea of open-source projects “bidding” for procurement</w:t>
      </w:r>
    </w:p>
    <w:p w14:paraId="35C2E4E3" w14:textId="77777777" w:rsidR="00EC4F6C" w:rsidRPr="00EC4F6C" w:rsidRDefault="00EC4F6C" w:rsidP="00EC4F6C">
      <w:pPr>
        <w:numPr>
          <w:ilvl w:val="0"/>
          <w:numId w:val="5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Better understanding of open-source payment and sustainability models</w:t>
      </w:r>
    </w:p>
    <w:p w14:paraId="10D3A4E5" w14:textId="77777777" w:rsidR="00EC4F6C" w:rsidRPr="00EC4F6C" w:rsidRDefault="00EC4F6C" w:rsidP="00EC4F6C">
      <w:pPr>
        <w:numPr>
          <w:ilvl w:val="0"/>
          <w:numId w:val="5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Addressing the perceived lack of quality in OSS</w:t>
      </w:r>
    </w:p>
    <w:p w14:paraId="2269A329" w14:textId="77777777" w:rsidR="00EC4F6C" w:rsidRPr="00EC4F6C" w:rsidRDefault="00EC4F6C" w:rsidP="00EC4F6C">
      <w:pPr>
        <w:numPr>
          <w:ilvl w:val="0"/>
          <w:numId w:val="5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Reducing over-reliance on dominant providers (e.g. Microsoft)</w:t>
      </w:r>
    </w:p>
    <w:p w14:paraId="49A517B0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i/>
          <w:iCs/>
          <w:color w:val="212121"/>
          <w:kern w:val="0"/>
          <w:sz w:val="22"/>
          <w:szCs w:val="22"/>
          <w:lang w:eastAsia="en-GB"/>
          <w14:ligatures w14:val="none"/>
        </w:rPr>
        <w:t>Next Steps</w:t>
      </w:r>
    </w:p>
    <w:p w14:paraId="5D8A92D4" w14:textId="77777777" w:rsidR="00EC4F6C" w:rsidRPr="00EC4F6C" w:rsidRDefault="00EC4F6C" w:rsidP="00EC4F6C">
      <w:pPr>
        <w:numPr>
          <w:ilvl w:val="0"/>
          <w:numId w:val="6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A follow-up meeting is being planned to further discuss:</w:t>
      </w:r>
    </w:p>
    <w:p w14:paraId="282FAB54" w14:textId="77777777" w:rsidR="00EC4F6C" w:rsidRPr="00EC4F6C" w:rsidRDefault="00EC4F6C" w:rsidP="00EC4F6C">
      <w:pPr>
        <w:numPr>
          <w:ilvl w:val="1"/>
          <w:numId w:val="6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Procurement implications</w:t>
      </w:r>
    </w:p>
    <w:p w14:paraId="47CC86F6" w14:textId="77777777" w:rsidR="00EC4F6C" w:rsidRPr="00EC4F6C" w:rsidRDefault="00EC4F6C" w:rsidP="00EC4F6C">
      <w:pPr>
        <w:numPr>
          <w:ilvl w:val="1"/>
          <w:numId w:val="6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Impact on NRENs</w:t>
      </w:r>
    </w:p>
    <w:p w14:paraId="0C627638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val="en-US" w:eastAsia="en-GB"/>
          <w14:ligatures w14:val="none"/>
        </w:rPr>
        <w:t> </w:t>
      </w:r>
    </w:p>
    <w:p w14:paraId="4684BBAA" w14:textId="7D308061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b/>
          <w:bCs/>
          <w:color w:val="212121"/>
          <w:kern w:val="0"/>
          <w:sz w:val="22"/>
          <w:szCs w:val="22"/>
          <w:lang w:eastAsia="en-GB"/>
          <w14:ligatures w14:val="none"/>
        </w:rPr>
        <w:t>2. Similar Case: Broadcom / VMware</w:t>
      </w: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val="en-US" w:eastAsia="en-GB"/>
          <w14:ligatures w14:val="none"/>
        </w:rPr>
        <w:t> </w:t>
      </w:r>
    </w:p>
    <w:p w14:paraId="6D203ABA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i/>
          <w:iCs/>
          <w:color w:val="212121"/>
          <w:kern w:val="0"/>
          <w:sz w:val="22"/>
          <w:szCs w:val="22"/>
          <w:lang w:eastAsia="en-GB"/>
          <w14:ligatures w14:val="none"/>
        </w:rPr>
        <w:lastRenderedPageBreak/>
        <w:t>Background</w:t>
      </w:r>
    </w:p>
    <w:p w14:paraId="0879E6D6" w14:textId="77777777" w:rsidR="00EC4F6C" w:rsidRPr="00EC4F6C" w:rsidRDefault="00EC4F6C" w:rsidP="00EC4F6C">
      <w:pPr>
        <w:numPr>
          <w:ilvl w:val="0"/>
          <w:numId w:val="7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Broadcom acquired VMware in 2024.</w:t>
      </w:r>
    </w:p>
    <w:p w14:paraId="47995D8F" w14:textId="77777777" w:rsidR="00EC4F6C" w:rsidRPr="00EC4F6C" w:rsidRDefault="00EC4F6C" w:rsidP="00EC4F6C">
      <w:pPr>
        <w:numPr>
          <w:ilvl w:val="0"/>
          <w:numId w:val="7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At the time, a framework agreement was explored but not pursued due to:</w:t>
      </w:r>
    </w:p>
    <w:p w14:paraId="61A70B2B" w14:textId="77777777" w:rsidR="00EC4F6C" w:rsidRPr="00EC4F6C" w:rsidRDefault="00EC4F6C" w:rsidP="00EC4F6C">
      <w:pPr>
        <w:numPr>
          <w:ilvl w:val="1"/>
          <w:numId w:val="7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Broadcom’s unwillingness to negotiate</w:t>
      </w:r>
    </w:p>
    <w:p w14:paraId="606450C1" w14:textId="77777777" w:rsidR="00EC4F6C" w:rsidRPr="00EC4F6C" w:rsidRDefault="00EC4F6C" w:rsidP="00EC4F6C">
      <w:pPr>
        <w:numPr>
          <w:ilvl w:val="1"/>
          <w:numId w:val="7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Lack of viable public tender options</w:t>
      </w:r>
    </w:p>
    <w:p w14:paraId="037AD7AE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i/>
          <w:iCs/>
          <w:color w:val="212121"/>
          <w:kern w:val="0"/>
          <w:sz w:val="22"/>
          <w:szCs w:val="22"/>
          <w:lang w:eastAsia="en-GB"/>
          <w14:ligatures w14:val="none"/>
        </w:rPr>
        <w:t>Current Situation</w:t>
      </w:r>
    </w:p>
    <w:p w14:paraId="1AB0E057" w14:textId="77777777" w:rsidR="00EC4F6C" w:rsidRPr="00EC4F6C" w:rsidRDefault="00EC4F6C" w:rsidP="00EC4F6C">
      <w:pPr>
        <w:numPr>
          <w:ilvl w:val="0"/>
          <w:numId w:val="8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An alternative solution was attempted but proved unsustainable in the longer term.</w:t>
      </w:r>
    </w:p>
    <w:p w14:paraId="0E9B30F1" w14:textId="77777777" w:rsidR="00EC4F6C" w:rsidRPr="00EC4F6C" w:rsidRDefault="00EC4F6C" w:rsidP="00EC4F6C">
      <w:pPr>
        <w:numPr>
          <w:ilvl w:val="0"/>
          <w:numId w:val="8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Question raised: Where do NRENs currently stand regarding Broadcom?</w:t>
      </w:r>
    </w:p>
    <w:p w14:paraId="72B13E07" w14:textId="77777777" w:rsidR="00EC4F6C" w:rsidRPr="00EC4F6C" w:rsidRDefault="00EC4F6C" w:rsidP="00EC4F6C">
      <w:pPr>
        <w:numPr>
          <w:ilvl w:val="1"/>
          <w:numId w:val="8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According to DFN, Proxmox is a potential alternative.</w:t>
      </w:r>
    </w:p>
    <w:p w14:paraId="14A58064" w14:textId="77777777" w:rsidR="00EC4F6C" w:rsidRPr="00EC4F6C" w:rsidRDefault="00EC4F6C" w:rsidP="00EC4F6C">
      <w:pPr>
        <w:numPr>
          <w:ilvl w:val="1"/>
          <w:numId w:val="8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However, this solution does not work for SWITCH.</w:t>
      </w:r>
    </w:p>
    <w:p w14:paraId="2C3B3ABF" w14:textId="77777777" w:rsidR="00EC4F6C" w:rsidRPr="00EC4F6C" w:rsidRDefault="00EC4F6C" w:rsidP="00EC4F6C">
      <w:pPr>
        <w:numPr>
          <w:ilvl w:val="0"/>
          <w:numId w:val="8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SURF highlighted that a key challenge is the willingness of institutions to collaborate and jointly onboard alternative solutions.</w:t>
      </w:r>
    </w:p>
    <w:p w14:paraId="774970A0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val="en-US" w:eastAsia="en-GB"/>
          <w14:ligatures w14:val="none"/>
        </w:rPr>
        <w:t> </w:t>
      </w:r>
    </w:p>
    <w:p w14:paraId="57728FA7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b/>
          <w:bCs/>
          <w:color w:val="212121"/>
          <w:kern w:val="0"/>
          <w:sz w:val="22"/>
          <w:szCs w:val="22"/>
          <w:lang w:eastAsia="en-GB"/>
          <w14:ligatures w14:val="none"/>
        </w:rPr>
        <w:t>3. Accessibility and Procurement</w:t>
      </w:r>
    </w:p>
    <w:p w14:paraId="60FDD84D" w14:textId="105A4E86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>
        <w:rPr>
          <w:rFonts w:ascii="Aptos" w:eastAsia="Times New Roman" w:hAnsi="Aptos" w:cs="Times New Roman"/>
          <w:b/>
          <w:bCs/>
          <w:color w:val="212121"/>
          <w:kern w:val="0"/>
          <w:sz w:val="22"/>
          <w:szCs w:val="22"/>
          <w:lang w:eastAsia="en-GB"/>
          <w14:ligatures w14:val="none"/>
        </w:rPr>
        <w:t>Presentation and s</w:t>
      </w:r>
      <w:r w:rsidRPr="00EC4F6C">
        <w:rPr>
          <w:rFonts w:ascii="Aptos" w:eastAsia="Times New Roman" w:hAnsi="Aptos" w:cs="Times New Roman"/>
          <w:b/>
          <w:bCs/>
          <w:color w:val="212121"/>
          <w:kern w:val="0"/>
          <w:sz w:val="22"/>
          <w:szCs w:val="22"/>
          <w:lang w:eastAsia="en-GB"/>
          <w14:ligatures w14:val="none"/>
        </w:rPr>
        <w:t>peaker:</w:t>
      </w: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 Kellie Mote (Jisc)</w:t>
      </w:r>
    </w:p>
    <w:p w14:paraId="055FEBA0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val="en-US" w:eastAsia="en-GB"/>
          <w14:ligatures w14:val="none"/>
        </w:rPr>
        <w:t> </w:t>
      </w:r>
    </w:p>
    <w:p w14:paraId="4BDF10F2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i/>
          <w:iCs/>
          <w:color w:val="212121"/>
          <w:kern w:val="0"/>
          <w:sz w:val="22"/>
          <w:szCs w:val="22"/>
          <w:lang w:eastAsia="en-GB"/>
          <w14:ligatures w14:val="none"/>
        </w:rPr>
        <w:t>Definition</w:t>
      </w:r>
    </w:p>
    <w:p w14:paraId="4799FA1E" w14:textId="77777777" w:rsidR="00EC4F6C" w:rsidRPr="00EC4F6C" w:rsidRDefault="00EC4F6C" w:rsidP="00EC4F6C">
      <w:pPr>
        <w:numPr>
          <w:ilvl w:val="0"/>
          <w:numId w:val="9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Accessibility refers to digital content and products that can be used by everyone, including people with disabilities or specific accessibility requirements.</w:t>
      </w:r>
    </w:p>
    <w:p w14:paraId="791D2171" w14:textId="77777777" w:rsidR="00EC4F6C" w:rsidRPr="00EC4F6C" w:rsidRDefault="00EC4F6C" w:rsidP="00EC4F6C">
      <w:pPr>
        <w:numPr>
          <w:ilvl w:val="0"/>
          <w:numId w:val="9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The WCAG standards provide guidance on how to achieve this.</w:t>
      </w:r>
    </w:p>
    <w:p w14:paraId="6D98F65E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i/>
          <w:iCs/>
          <w:color w:val="212121"/>
          <w:kern w:val="0"/>
          <w:sz w:val="22"/>
          <w:szCs w:val="22"/>
          <w:lang w:eastAsia="en-GB"/>
          <w14:ligatures w14:val="none"/>
        </w:rPr>
        <w:t>Regulatory Framework</w:t>
      </w:r>
    </w:p>
    <w:p w14:paraId="203059D4" w14:textId="77777777" w:rsidR="00EC4F6C" w:rsidRPr="00EC4F6C" w:rsidRDefault="00EC4F6C" w:rsidP="00EC4F6C">
      <w:pPr>
        <w:numPr>
          <w:ilvl w:val="0"/>
          <w:numId w:val="10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UK: Equality Act 2010</w:t>
      </w:r>
    </w:p>
    <w:p w14:paraId="79F2E038" w14:textId="77777777" w:rsidR="00EC4F6C" w:rsidRPr="00EC4F6C" w:rsidRDefault="00EC4F6C" w:rsidP="00EC4F6C">
      <w:pPr>
        <w:numPr>
          <w:ilvl w:val="0"/>
          <w:numId w:val="10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USA: Title II of the Americans with Disabilities Act (ADA)</w:t>
      </w:r>
    </w:p>
    <w:p w14:paraId="7590CC1C" w14:textId="77777777" w:rsidR="00EC4F6C" w:rsidRPr="00EC4F6C" w:rsidRDefault="00EC4F6C" w:rsidP="00EC4F6C">
      <w:pPr>
        <w:numPr>
          <w:ilvl w:val="0"/>
          <w:numId w:val="10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EU: European Accessibility Act (EAA), 2019</w:t>
      </w:r>
    </w:p>
    <w:p w14:paraId="4EF35378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i/>
          <w:iCs/>
          <w:color w:val="212121"/>
          <w:kern w:val="0"/>
          <w:sz w:val="22"/>
          <w:szCs w:val="22"/>
          <w:lang w:eastAsia="en-GB"/>
          <w14:ligatures w14:val="none"/>
        </w:rPr>
        <w:t>Role of Procurement</w:t>
      </w:r>
    </w:p>
    <w:p w14:paraId="67D601D3" w14:textId="77777777" w:rsidR="00EC4F6C" w:rsidRPr="00EC4F6C" w:rsidRDefault="00EC4F6C" w:rsidP="00EC4F6C">
      <w:pPr>
        <w:numPr>
          <w:ilvl w:val="0"/>
          <w:numId w:val="11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Procurement professionals play a key role in:</w:t>
      </w:r>
    </w:p>
    <w:p w14:paraId="1810F6B0" w14:textId="77777777" w:rsidR="00EC4F6C" w:rsidRPr="00EC4F6C" w:rsidRDefault="00EC4F6C" w:rsidP="00EC4F6C">
      <w:pPr>
        <w:numPr>
          <w:ilvl w:val="1"/>
          <w:numId w:val="11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Embedding accessibility requirements</w:t>
      </w:r>
    </w:p>
    <w:p w14:paraId="5DD47B27" w14:textId="77777777" w:rsidR="00EC4F6C" w:rsidRPr="00EC4F6C" w:rsidRDefault="00EC4F6C" w:rsidP="00EC4F6C">
      <w:pPr>
        <w:numPr>
          <w:ilvl w:val="1"/>
          <w:numId w:val="11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Challenging suppliers</w:t>
      </w:r>
    </w:p>
    <w:p w14:paraId="3B85705E" w14:textId="77777777" w:rsidR="00EC4F6C" w:rsidRPr="00EC4F6C" w:rsidRDefault="00EC4F6C" w:rsidP="00EC4F6C">
      <w:pPr>
        <w:numPr>
          <w:ilvl w:val="1"/>
          <w:numId w:val="11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Ensuring accessibility is safeguarded and promoted through contracts</w:t>
      </w:r>
    </w:p>
    <w:p w14:paraId="0934A0E4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i/>
          <w:iCs/>
          <w:color w:val="212121"/>
          <w:kern w:val="0"/>
          <w:sz w:val="22"/>
          <w:szCs w:val="22"/>
          <w:lang w:eastAsia="en-GB"/>
          <w14:ligatures w14:val="none"/>
        </w:rPr>
        <w:t>Recommendations</w:t>
      </w:r>
    </w:p>
    <w:p w14:paraId="430CFD08" w14:textId="77777777" w:rsidR="00EC4F6C" w:rsidRPr="00EC4F6C" w:rsidRDefault="00EC4F6C" w:rsidP="00EC4F6C">
      <w:pPr>
        <w:numPr>
          <w:ilvl w:val="0"/>
          <w:numId w:val="12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Higher education should leverage its collective buying power to influence the technology industry to improve accessibility.</w:t>
      </w:r>
    </w:p>
    <w:p w14:paraId="6453EA34" w14:textId="77777777" w:rsidR="00EC4F6C" w:rsidRPr="00EC4F6C" w:rsidRDefault="00EC4F6C" w:rsidP="00EC4F6C">
      <w:pPr>
        <w:numPr>
          <w:ilvl w:val="0"/>
          <w:numId w:val="12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HE institutions, procurement consortia, and related bodies should agree on and adopt a sector-wide accessibility standard for digital (including AI) tools.</w:t>
      </w:r>
    </w:p>
    <w:p w14:paraId="024CC5FB" w14:textId="77777777" w:rsidR="00EC4F6C" w:rsidRPr="00EC4F6C" w:rsidRDefault="00EC4F6C" w:rsidP="00EC4F6C">
      <w:pPr>
        <w:numPr>
          <w:ilvl w:val="0"/>
          <w:numId w:val="12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UK universities should actively use the opportunities created by the European Accessibility Act and collaborate with partners to ensure effective adoption.</w:t>
      </w:r>
    </w:p>
    <w:p w14:paraId="5653CFAD" w14:textId="77777777" w:rsidR="00EC4F6C" w:rsidRPr="00EC4F6C" w:rsidRDefault="00EC4F6C" w:rsidP="00EC4F6C">
      <w:p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i/>
          <w:iCs/>
          <w:color w:val="212121"/>
          <w:kern w:val="0"/>
          <w:sz w:val="22"/>
          <w:szCs w:val="22"/>
          <w:lang w:eastAsia="en-GB"/>
          <w14:ligatures w14:val="none"/>
        </w:rPr>
        <w:t>Further Action</w:t>
      </w:r>
    </w:p>
    <w:p w14:paraId="6853011B" w14:textId="77777777" w:rsidR="00EC4F6C" w:rsidRPr="00EC4F6C" w:rsidRDefault="00EC4F6C" w:rsidP="00EC4F6C">
      <w:pPr>
        <w:numPr>
          <w:ilvl w:val="0"/>
          <w:numId w:val="13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Stakeholders are encouraged to:</w:t>
      </w:r>
    </w:p>
    <w:p w14:paraId="535E50CF" w14:textId="77777777" w:rsidR="00EC4F6C" w:rsidRPr="00EC4F6C" w:rsidRDefault="00EC4F6C" w:rsidP="00EC4F6C">
      <w:pPr>
        <w:numPr>
          <w:ilvl w:val="1"/>
          <w:numId w:val="13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Engage with Jisc’s team</w:t>
      </w:r>
    </w:p>
    <w:p w14:paraId="644EF388" w14:textId="77777777" w:rsidR="00EC4F6C" w:rsidRPr="00EC4F6C" w:rsidRDefault="00EC4F6C" w:rsidP="00EC4F6C">
      <w:pPr>
        <w:numPr>
          <w:ilvl w:val="1"/>
          <w:numId w:val="13"/>
        </w:numPr>
        <w:rPr>
          <w:rFonts w:ascii="Aptos" w:eastAsia="Times New Roman" w:hAnsi="Aptos" w:cs="Times New Roman"/>
          <w:color w:val="212121"/>
          <w:kern w:val="0"/>
          <w:lang w:eastAsia="en-GB"/>
          <w14:ligatures w14:val="none"/>
        </w:rPr>
      </w:pPr>
      <w:r w:rsidRPr="00EC4F6C">
        <w:rPr>
          <w:rFonts w:ascii="Aptos" w:eastAsia="Times New Roman" w:hAnsi="Aptos" w:cs="Times New Roman"/>
          <w:color w:val="212121"/>
          <w:kern w:val="0"/>
          <w:sz w:val="22"/>
          <w:szCs w:val="22"/>
          <w:lang w:eastAsia="en-GB"/>
          <w14:ligatures w14:val="none"/>
        </w:rPr>
        <w:t>Review the forthcoming report (to be published 30 January) for detailed guidance on progressing accessibility as a global community</w:t>
      </w:r>
    </w:p>
    <w:p w14:paraId="15D9A356" w14:textId="77777777" w:rsidR="00A51B1D" w:rsidRDefault="00A51B1D"/>
    <w:sectPr w:rsidR="00A51B1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F76DB"/>
    <w:multiLevelType w:val="multilevel"/>
    <w:tmpl w:val="138E6F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88468E7"/>
    <w:multiLevelType w:val="multilevel"/>
    <w:tmpl w:val="4D3EBE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D343277"/>
    <w:multiLevelType w:val="multilevel"/>
    <w:tmpl w:val="6C4C15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0541B3E"/>
    <w:multiLevelType w:val="multilevel"/>
    <w:tmpl w:val="94748F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85C2F24"/>
    <w:multiLevelType w:val="multilevel"/>
    <w:tmpl w:val="834EB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6345EB0"/>
    <w:multiLevelType w:val="multilevel"/>
    <w:tmpl w:val="C4883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CC254F4"/>
    <w:multiLevelType w:val="multilevel"/>
    <w:tmpl w:val="9A1CCF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E936CD2"/>
    <w:multiLevelType w:val="multilevel"/>
    <w:tmpl w:val="0DC80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47DC7949"/>
    <w:multiLevelType w:val="multilevel"/>
    <w:tmpl w:val="5530AD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486642AA"/>
    <w:multiLevelType w:val="multilevel"/>
    <w:tmpl w:val="86062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578F4D46"/>
    <w:multiLevelType w:val="multilevel"/>
    <w:tmpl w:val="997EE2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699B29E6"/>
    <w:multiLevelType w:val="multilevel"/>
    <w:tmpl w:val="539E60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706A65C6"/>
    <w:multiLevelType w:val="multilevel"/>
    <w:tmpl w:val="3FC0F3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32316230">
    <w:abstractNumId w:val="11"/>
  </w:num>
  <w:num w:numId="2" w16cid:durableId="427040619">
    <w:abstractNumId w:val="3"/>
  </w:num>
  <w:num w:numId="3" w16cid:durableId="560410283">
    <w:abstractNumId w:val="12"/>
  </w:num>
  <w:num w:numId="4" w16cid:durableId="1630235788">
    <w:abstractNumId w:val="4"/>
  </w:num>
  <w:num w:numId="5" w16cid:durableId="1884443318">
    <w:abstractNumId w:val="2"/>
  </w:num>
  <w:num w:numId="6" w16cid:durableId="2107529679">
    <w:abstractNumId w:val="10"/>
  </w:num>
  <w:num w:numId="7" w16cid:durableId="2087266133">
    <w:abstractNumId w:val="6"/>
  </w:num>
  <w:num w:numId="8" w16cid:durableId="1269122683">
    <w:abstractNumId w:val="5"/>
  </w:num>
  <w:num w:numId="9" w16cid:durableId="1215462178">
    <w:abstractNumId w:val="7"/>
  </w:num>
  <w:num w:numId="10" w16cid:durableId="2099326237">
    <w:abstractNumId w:val="1"/>
  </w:num>
  <w:num w:numId="11" w16cid:durableId="765538935">
    <w:abstractNumId w:val="0"/>
  </w:num>
  <w:num w:numId="12" w16cid:durableId="190536451">
    <w:abstractNumId w:val="8"/>
  </w:num>
  <w:num w:numId="13" w16cid:durableId="193497008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4F6C"/>
    <w:rsid w:val="00147D7C"/>
    <w:rsid w:val="00A51B1D"/>
    <w:rsid w:val="00D441D0"/>
    <w:rsid w:val="00EC4F6C"/>
    <w:rsid w:val="00FD0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688E1EFA"/>
  <w15:chartTrackingRefBased/>
  <w15:docId w15:val="{A80E19BB-1EB1-054C-B79D-28E97A984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4F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4F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4F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4F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4F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4F6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4F6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4F6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4F6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4F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4F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4F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4F6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4F6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4F6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4F6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4F6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4F6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4F6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4F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4F6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4F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4F6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4F6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4F6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4F6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4F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4F6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4F6C"/>
    <w:rPr>
      <w:b/>
      <w:bCs/>
      <w:smallCaps/>
      <w:color w:val="0F4761" w:themeColor="accent1" w:themeShade="BF"/>
      <w:spacing w:val="5"/>
    </w:rPr>
  </w:style>
  <w:style w:type="character" w:customStyle="1" w:styleId="apple-converted-space">
    <w:name w:val="apple-converted-space"/>
    <w:basedOn w:val="DefaultParagraphFont"/>
    <w:rsid w:val="00EC4F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599</Words>
  <Characters>3307</Characters>
  <Application>Microsoft Office Word</Application>
  <DocSecurity>0</DocSecurity>
  <Lines>70</Lines>
  <Paragraphs>39</Paragraphs>
  <ScaleCrop>false</ScaleCrop>
  <Company/>
  <LinksUpToDate>false</LinksUpToDate>
  <CharactersWithSpaces>3867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Badreddine Ajbar El Gueriri</dc:creator>
  <cp:keywords/>
  <dc:description/>
  <cp:lastModifiedBy>Badreddine Ajbar El Gueriri</cp:lastModifiedBy>
  <cp:revision>1</cp:revision>
  <dcterms:created xsi:type="dcterms:W3CDTF">2026-01-15T09:14:00Z</dcterms:created>
  <dcterms:modified xsi:type="dcterms:W3CDTF">2026-01-15T09:15:00Z</dcterms:modified>
</cp:coreProperties>
</file>